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357 vom 10. August 2023</w:t>
      </w:r>
    </w:p>
    <w:p>
      <w:r>
        <w:t>BE Obergericht, 2023-08-10, DE</w:t>
      </w:r>
    </w:p>
    <w:p>
      <w:r>
        <w:rPr>
          <w:b/>
        </w:rPr>
        <w:t xml:space="preserve">Quelle: </w:t>
      </w:r>
      <w:r>
        <w:t>https://mcp.opencaselaw.ch/entscheid/be_zivilstraf_BK_2023_357</w:t>
      </w:r>
    </w:p>
    <w:p>
      <w:r>
        <w:t>FR: BE_ZIVILSTRAF BK 2023 357 du 10 août 2023</w:t>
      </w:r>
    </w:p>
    <w:p>
      <w:r>
        <w:t>IT: BE_ZIVILSTRAF BK 2023 357 del 10 agosto 2023</w:t>
      </w:r>
    </w:p>
    <w:p>
      <w:pPr>
        <w:pStyle w:val="Heading2"/>
      </w:pPr>
      <w:r>
        <w:t>Regeste</w:t>
      </w:r>
    </w:p>
    <w:p>
      <w:r>
        <w:t>Nichtanhandnahme | Einstellung/Nichtanhandnahme</w:t>
      </w:r>
    </w:p>
    <w:p>
      <w:pPr>
        <w:pStyle w:val="Heading2"/>
      </w:pPr>
      <w:r>
        <w:t>Erwägungen</w:t>
      </w:r>
    </w:p>
    <w:p>
      <w:r>
        <w:rPr>
          <w:b/>
        </w:rPr>
        <w:t>E. 1</w:t>
      </w:r>
    </w:p>
    <w:p>
      <w:r>
        <w:t>Mit Verfügung vom 10. August 2023 nahm die Regionale Staatsanwaltschaft Em- mental-Oberaargau (nachfolgend: Staatsanwaltschaft) das vom Straf- und Zivilklä- ger D.________ gegen Mitarbeitende des Betreibungsamtes Emmental- Oberaargau, konkret A.________ (nachfolgend: Beschuldigter 1), B.________ (nachfolgend: Beschuldigter 2) und C.________ (nachfolgend: Beschuldigter 3), in- itiierte Strafverfahren wegen Amtsmissbrauchs, Nötigung, Erpressung etc. nicht an die Hand. Hiergegen erhob D.________ (nachfolgend: Beschwerdeführer) am 22. August 2023 Beschwerde. Er stellte sinngemäss den Antrag, die angefochtene Verfügung sei aufzuheben. Zur Begründung führte er aus, das Nichtakzeptieren der «Promissory Note» sei rechtswidrig und verletze das internationale und innerstaat- liche Wirtschafts- und Handelsrecht, das Abkommen über das Einheitliche Wech- selgesetz und das zwingend einzuhaltende Völkerrecht. Daher sei die Staatsan- waltschaft anzuweisen, ein Strafverfahren gegen die Beschuldigten 1-3 zu eröff- nen. Gleichzeitig sei ihm eine Entschädigung von CHF 150'000.00 zuzusprechen. Mit Blick auf das Nachfolgende wurde auf die Einholung einer Stellungnahme bzw. auf die Durchführung eines Schriftenwechsels verzichtet (Art. 390 Abs. 2 der Schweizerischen Strafprozessordnung [StPO; SR 312.0]). Es ergeht ein direkter Beschluss.</w:t>
      </w:r>
    </w:p>
    <w:p>
      <w:r>
        <w:rPr>
          <w:b/>
        </w:rPr>
        <w:t>E. 2</w:t>
      </w:r>
    </w:p>
    <w:p>
      <w:r>
        <w:t>Gegen Verfügungen und Verfahrenshandlungen der Staatsanwaltschaft kann bei der Beschwerdekammer in Strafsachen des Obergerichts des Kantons Bern (nach- folgend: Beschwerdekammer) innert zehn Tagen schriftlich und begründet Be- 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als Laieneingabe knapp form- und im Übrigen fristgerecht eingereichte Be- schwerde ist einzutreten.</w:t>
      </w:r>
    </w:p>
    <w:p>
      <w:r>
        <w:rPr>
          <w:b/>
        </w:rPr>
        <w:t>E. 3</w:t>
      </w:r>
    </w:p>
    <w:p>
      <w:r>
        <w:t>troffenen nötigen und erpressen, in dem sie das bewegliche Vermögen (SchKG Art. 95 Abs. 1) bei einer Pfändung unterschlagen, um nach SchKG Art. 95 an das unbewegliche Vermögen zu gelan- gen. SchKG Art. 95 Abs. 2 besagt deutlich, dass Grundstücke nur gefährdet werden dürfen, wenn bewegliche Vermögen nicht ausreichen. Das Betreibungsamt, gehandelt durch A.________, B.________, C.________ wendet eine Erpressung gegen mehrere Personen und Geschäfte an, die ganze Familie ist durch diese Schädigung gegenwärtig in Gefahr mit Leib und Leben. Eine solche Belastung auf die Familie ist sofort zu unterbinden. Es ist durch die Staatsanwaltschaft abzuklären, ob diese Erpressung sogar StGB 140 mit sich zieht. [...] - […] Durch mangelhaftes Eröffnen, VwVG Art. 38, ist dem Antrags- und Anzeigesteller ein bedrohli- cher Nachteil erwachsen. Durch diesen rechtswidrigen Entscheid versuchte das Betreibungsamt, gehandelt durch A.________ den Antrags- und Anzeigesteller in seinem Widerstand an seinen Rechten unfähig zu machen und selber hat A.________ einen Diebstahl der Wertpapiere begangen, indem A. Fuhrirnann die Unterschlagung der Wertpapiere unterstützte und vollzog. Es weckt sogar den Verdacht auf Amtsmissbrauch: durch mangelhaftes Eröffnen wird der mehrfache Zahlungsaus- gleich durch Wertpapiere nicht berücksichtigt, dadurch wird der Antrags- und Anzeigesteller vom Betreibungsamt zu mehrfachen Zahlungsausgleich erpresst durch Pfändung des Grundstückes. Diese Verbrechen durch A.________ müssen strafrechtlich untersucht werden. […] - […] Das Betreibungsamt, gehandelt durch die angeklagten Personen, versucht sich rechtswidrig am Grundstück des Antrags- und Anzeigesteller zu bereichern, obwohl dieser mit Urkunde beweisen kann, dass das Betreibungsamt selber im Gläubigerverzug steht. [...] - [...] Der Antrags- und Anzeigesteller kann mit Urkunde die rechtgültige nach internationalem und in- nerstaatlichem Handels- und Wirtschaftsrecht erfolgten Zahlung von CHF 1'100'000.- belegen. Das Betreibungsamt Emmental, E.________ (Adresse), gehandelt durch A.________ hatte die Pflicht, rechtmässig nach VwVG Art. 38 zu eröffnen. Aus mangelhafter Eröffnung darf den Parteien kein Nachteil erwachsen. Durch diese mangelhafte Eröffnung, Unterschlagung mehreren Wertpapieren ist dem Antrags- und Anzeigesteller ein bedrohlicher Nachteil erwachsen. […] - […] Dieser durch das Betreibungsamt Emmental, E.________ (Adresse), gehandelt durch A.________, entstandene materielle und immaterielle Schaden durch Verletzung des internationa- len und innerstaatlichen Wirtschafts- und Handelsrechts, das Abkommen über das Einheitliche Wechselgesetz und das zwingend einzuhaltende Völkerrecht, gilt es mit 150 000 Schweizer Fran- ken (einhundertfünfzigtausend Schweizer Franken) zu entschädigen. […]</w:t>
      </w:r>
    </w:p>
    <w:p>
      <w:r>
        <w:rPr>
          <w:b/>
        </w:rPr>
        <w:t>E. 3.1</w:t>
      </w:r>
    </w:p>
    <w:p>
      <w:r>
        <w:t>Der vom Beschwerdeführer vorgebrachte Anzeigesachverhalt wurde von der Staatsanwaltschaft wie folgt wiedergegeben (vgl. S. 2 der angefochtenen Verfü- gung): Mit Eingabe vom 07.08.2023 hat D.________ bei der Staatsanwaltschaft Emmental-Oberaargau eine Strafanzeige gegen A.________, B.________ und C.________, alle drei vom Betreibungsamt Em- mental, eingereicht wegen Amtsmissbrauchs, Nötigung, Erpressung, Raub, Unterdrückung von Ur- kunden, Urkunden des Auslandes, Sachentziehung, Betrug und arglistiger Vermögensschädigung. Dabei gab er u.a. folgendes an: - [...] Es sei festzustellen, dass der geschützte Zivilist mehrfach völkerrechtswidrig verletzt wurde und weiter verletzt wird, EMRK Art. 8. Da A.________, B.________, C.________ mit Betrug, arglistiger Vermögensschädigung, Urkunden unterschlagen um sich oder andere damit zu bereichern; den Be-</w:t>
      </w:r>
    </w:p>
    <w:p>
      <w:r>
        <w:rPr>
          <w:b/>
        </w:rPr>
        <w:t>E. 3.2</w:t>
      </w:r>
    </w:p>
    <w:p>
      <w:r>
        <w:t>Zur Begründung der Nichtanhandnahmeverfügung hielt die Staatsanwaltschaft fest: Das Schreiben war nicht substantiiert und es liess sich kein einer Beurteilung zugänglicher Sachver- halt entnehmen. Die Angaben waren ungenügend, um die Einleitung von entsprechenden Ermittlun- gen zu rechtfertigen. Auf eine Aufforderung an D.________ zur Einreichung einer Nachbesse- rung/Konkretisierung der Anzeige wurde verzichtet, da D.________ bereits aus dem Verfahren EO 23 5773 weiss, dass die Eingaben substantiiert sein und einen einer Beurteilung zugänglichen Sachver- halt enthalten müssen und sonst eine Nichtanhandnahme des Verfahrens erfolgt. D.________ hat seiner Eingabe vom 07.08.2023, neben den erwähnten noch weitere Ausführungen gemacht, welch in weiten Teilen diffus, nicht nachvollziehbar und dermassen vage und unbestimmt waren, dass sie einer strafrechtlichen Verifizierung nicht zugänglich sind. D.________ gibt zwar bei den einzelnen Tat- beständen an, weshalb er glaubt, dass sich die drei beschuldigten Personen diesbezüglich strafbar gemacht haben sollen, ergeben aber keine Hinweise auf eine tatsächlich strafbare Handlung nach dem schweizerischen Strafgesetzbuch. So macht sich beispielweise der Nötigung nach Art. 181 StGB</w:t>
      </w:r>
    </w:p>
    <w:p>
      <w:r>
        <w:rPr>
          <w:b/>
        </w:rPr>
        <w:t>E. 4</w:t>
      </w:r>
    </w:p>
    <w:p>
      <w:r>
        <w:t>strafbar, wer jemanden durch Gewalt oder Androhung ernstlicher Nachteile oder durch andere Be- schränkung seiner Handlungsfreiheit nötigt, etwas zu tun, zu unterlassen oder zu dulden. Aus den Schilderungen von D.________ geht nichts dergleichen hervor, wie auch nicht bei den anderen ange- zeigten Tatbeständen. Das Verfahren wird deshalb nicht an die Hand genommen.</w:t>
      </w:r>
    </w:p>
    <w:p>
      <w:r>
        <w:rPr>
          <w:b/>
        </w:rPr>
        <w:t>E. 4.1</w:t>
      </w:r>
    </w:p>
    <w:p>
      <w:r>
        <w:t>Die Staatsanwaltschaft eröffnet eine Untersuchung, wenn sich ein hinreichender Tatverdacht ergibt (Art. 309 Abs. 1 Bst. a StPO). Gemeint ist ein «mittlerer Ver- 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 sen erheblich und konkreter Natur sein. Blosse Gerüchte oder Vermutungen genü- gen nicht. Der Anfangsverdacht soll eine plausible Tatsachengrundlage haben, aus der sich die konkrete Möglichkeit ergibt, dass eine Straftat begangen worden ist (Urteile des Bundesgerichts 6B_700/2020 vom 17. August 2021 E. 3.3, 6B_553/2019 vom 6. November 2019 E. 3.1 und 6B_833/2019 vom 10. September 2019 E. 2.4.2). Dagegen verfügt die Staatsanwaltschaft die Nichtanhandnahme, sobald aufgrund der Strafanzeige oder des Polizeirapports feststeht, dass die frag- lichen Straftatbestände oder die Prozessvoraussetzungen eindeutig nicht erfüllt sind (Art. 310 Abs. 1 Bst. a StPO). Eine Nichtanhandnahme darf nur in sachver- haltsmässig und rechtlich klaren Fällen ergehen, so bei offensichtlicher Straflosig- keit, wenn der Sachverhalt mit Sicherheit nicht unter einen Straftatbestand fällt (was etwa bei rein zivilrechtlichen Streitigkeiten der Fall ist [BGE 137 IV 285 E. 2.3; VOGELSANG, in: Basler Kommentar, Schweizerische Strafprozessordnung, 3. Aufl. 2023, N. 9 zu Art. 310 StPO]) oder bei eindeutig fehlenden Prozessvoraussetzun- gen (Urteil des Bundesgerichts 6B_572/2021 vom 10. Februar 2022 E. 3.1).</w:t>
      </w:r>
    </w:p>
    <w:p>
      <w:r>
        <w:rPr>
          <w:b/>
        </w:rPr>
        <w:t>E. 4.2</w:t>
      </w:r>
    </w:p>
    <w:p>
      <w:r>
        <w:t>Anders als die Staatsanwaltschaft dafürhält, lässt sich der vom Beschwerdeführer zur Anzeige gebrachte Sachverhalt genügend klar umreissen. Der Beschwerdefüh- rer moniert das Vorgehen der Betreibungsbeamten in einem gegen ihn geführten Betreibungsverfahren. Nach seiner Ansicht sollen die Betreibungsbeamten zu Un- recht eine «Promissory Note» nicht als Zahlungsmittel entgegengenommen haben, was zu einer unrechtmässigen Pfändung seines Grundstücks geführt habe. Nichts- destotrotz hat die Staatsanwaltschaft zu Recht kein Strafverfahren gegen die Be- schuldigten 1-3 an die Hand genommen. Vorliegend fehlt es an einem hinreichen- den Tatverdacht auf eine strafbare Handlung, welche die Anhandnahme eines Strafverfahrens rechtfertigen würde. Es ist gestützt auf die vom Beschwerdeführer eingereichte Strafanzeige und die Beilagen (inkl. derjenigen, welche im Beschwer- deverfahren eingereicht wurden) nicht ersichtlich, inwiefern die Beschuldigten 1-3 einen Straftatbestand, etwa des Schweizerischen Strafgesetzbuchs (StGB; SR 311.0), erfüllt haben sollen. Eine angeblich unrechtmässige Verweigerung, die «Promissory Note» als Zahlung – für offene und in Betreibung gesetzte Forderun- gen – entgegenzunehmen, vermag keine strafrechtliche Verantwortlichkeit zu be- gründen und stellt insbesondere keinen Straftatbestand dar (vgl. dazu auch EMMEL, in: Basler Kommentar, Bundesgesetz über Schuldbetreibung und Konkurs, 3. Aufl. 2021, N. 3 zu Art. 12 SchKG, wonach das Betreibungsamt Zahlungen für Rech-</w:t>
      </w:r>
    </w:p>
    <w:p>
      <w:r>
        <w:rPr>
          <w:b/>
        </w:rPr>
        <w:t>E. 4.3</w:t>
      </w:r>
    </w:p>
    <w:p>
      <w:r>
        <w:t>Zusammengefasst ist somit festzuhalten, dass die Nichtanhandnahme nicht zu beanstanden ist und insbesondere keine Verletzung «von internationalem und in- nerstaatlichem Wirtschafts- und Handelsrecht, des Abkommens über das einheitli- che Wechselgesetz und des zwingendend einzuhaltenden Völkerrechts» ausge- macht werden kann. Vorliegend ist klarerweise kein Straftatbestand erfüllt. Auf die geforderte Entschädigung in der Höhe von CHF 150'000.00 ist nicht weiter eizuge- hen.</w:t>
      </w:r>
    </w:p>
    <w:p>
      <w:r>
        <w:rPr>
          <w:b/>
        </w:rPr>
        <w:t>E. 5</w:t>
      </w:r>
    </w:p>
    <w:p>
      <w:r>
        <w:t>Die Beschwerde ist offensichtlich unbegründet und daher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