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2023 318 vom 28. November 2023</w:t>
      </w:r>
    </w:p>
    <w:p>
      <w:r>
        <w:t>BE Obergericht, 2023-11-28, DE</w:t>
      </w:r>
    </w:p>
    <w:p>
      <w:r>
        <w:rPr>
          <w:b/>
        </w:rPr>
        <w:t xml:space="preserve">Quelle: </w:t>
      </w:r>
      <w:r>
        <w:t>https://mcp.opencaselaw.ch/entscheid/be_zivilstraf_BK_2023_318</w:t>
      </w:r>
    </w:p>
    <w:p>
      <w:r>
        <w:t>FR: BE_ZIVILSTRAF BK 2023 318 du 28 novembre 2023</w:t>
      </w:r>
    </w:p>
    <w:p>
      <w:r>
        <w:t>IT: BE_ZIVILSTRAF BK 2023 318 del 28 novembre 2023</w:t>
      </w:r>
    </w:p>
    <w:p>
      <w:pPr>
        <w:pStyle w:val="Heading2"/>
      </w:pPr>
      <w:r>
        <w:t>Regeste</w:t>
      </w:r>
    </w:p>
    <w:p>
      <w:r>
        <w:t>Verfahrenstrennung | Andere Verfügungen StA, Polizei (393-a)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Regionale Staatsanwaltschaft Bern-Mittelland (nachfolgend: Staatsanwaltschaft/ Vorinstanz) führte zunächst ein Strafverfahren (BM 21 30088) gegen A.________ (nachfolgend: Beschwerdeführerin 1) und E.________ (nachfolgend: Beschuldig- ter 3) wegen Betrugs und Urkundenfälschung (Covid-Kreditbetrug), Misswirtschaft und Unterlassung der Buchführung, begangen zum Nachteil der F.________ (nach- folgend: Straf- und Zivilklägerin). Mit Verfügung vom 31. Januar 2023 (nachträglich verurkundet) wurde das Strafverfahren, beschränkt auf den Straftatbestand des Be- trugs, auf C.________ (nachfolgend: Beschwerdeführer 2; mit der Beschwerdefüh- rerin 1: die Beschwerdeführenden) ausgedehnt. Mit Verfügung vom 18. Juli 2023 ordnete die Staatsanwaltschaft an, dass das Verfahren gegen den Beschuldigten 3 von demjenigen gegen die Beschwerdeführerin 1 und den Beschwerdeführer 2 ab- getrennt und unter der Verfahrensnummer BM 21 30088 separat weitergeführt wird. Dagegen erhoben die Beschwerdeführerin 1, privat verteidigt durch Rechtsanwältin B.________, und der Beschwerdeführer 2, amtlich verteidigt durch Rechtsanwalt D.________, Beschwerde bei der Beschwerdekammer in Strafsachen des Oberge- richts des Kantons Bern (nachfolgend: Beschwerdekammer). Die Beschwerdeführe- rin 1 stellte dabei folgende Anträge: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