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308 vom 18. September 2023</w:t>
      </w:r>
    </w:p>
    <w:p>
      <w:r>
        <w:t>BE Obergericht, 2023-09-18, DE</w:t>
      </w:r>
    </w:p>
    <w:p>
      <w:r>
        <w:rPr>
          <w:b/>
        </w:rPr>
        <w:t xml:space="preserve">Quelle: </w:t>
      </w:r>
      <w:r>
        <w:t>https://mcp.opencaselaw.ch/entscheid/be_zivilstraf_BK_2023_308</w:t>
      </w:r>
    </w:p>
    <w:p>
      <w:r>
        <w:t>FR: BE_ZIVILSTRAF BK 2023 308 du 18 septembre 2023</w:t>
      </w:r>
    </w:p>
    <w:p>
      <w:r>
        <w:t>IT: BE_ZIVILSTRAF BK 2023 308 del 18 settembre 2023</w:t>
      </w:r>
    </w:p>
    <w:p>
      <w:pPr>
        <w:pStyle w:val="Heading2"/>
      </w:pPr>
      <w:r>
        <w:t>Regeste</w:t>
      </w:r>
    </w:p>
    <w:p>
      <w:r>
        <w:t>Ausstand | Ausstand (59)</w:t>
      </w:r>
    </w:p>
    <w:p>
      <w:pPr>
        <w:pStyle w:val="Heading2"/>
      </w:pPr>
      <w:r>
        <w:t>Erwägungen</w:t>
      </w:r>
    </w:p>
    <w:p>
      <w:r>
        <w:rPr>
          <w:b/>
        </w:rPr>
        <w:t>E. 1</w:t>
      </w:r>
    </w:p>
    <w:p>
      <w:r>
        <w:t>Am 26. Juni 2023 nahm die Regionale Staatsanwaltschaft Berner Jura-Seeland (nachfolgend: Staatsanwaltschaft) das vom Straf- und Zivilkläger D.________ (nachfolgend: Beschwerdeführer/Gesuchsteller) initiierte Strafverfahren gegen A.________ u.a. wegen Nötigung, Erpressung und ungerechtfertigter Bereicherung nicht an die Hand. Hiergegen erhob der Beschwerdeführer am 20. Juli 2023 Be- schwerde (vgl. separates Verfahren BK 23 304) und beantragte zudem den Ausstand von Staatsanwalt C.________ (nachfolgend: Gesuchsgegner). Daraufhin eröffnete die Verfahrensleitung der Beschwerdekammer in Strafsachen des Ober- gerichts des Kantons Bern ein Ausstandverfahren und forderte den Gesuchsgegner zur Stellungnahme auf. Der Beschuldigten wurde ebenfalls Gelegenheit ein- geräumt, eine Stellungnahme einzureichen. In ihrer Stellungnahme vom 21. August 2023 beantragte die Beschuldigte, verteidigt durch Rechtsanwalt B.________, die kostenfällige Abweisung des Ausstandsgesuchs. Mit Stellungnahme vom 18. Au- gust 2023 beantragte auch der Gesuchsgegner die kostenfällige Abweisung des Ausstandsgesuchs. Auf einen zweiten Schriftenwechsel wurde verzichtet. Am 21. August 2023 reichte der Gesuchsteller abschliessende Bemerkungen ein.</w:t>
      </w:r>
    </w:p>
    <w:p>
      <w:r>
        <w:rPr>
          <w:b/>
        </w:rPr>
        <w:t>E. 2</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der Schweizerischen Strafpro- zessordnung [StPO; SR 312.0]). Zuständig für den Entscheid ist die Beschwerde- kammer in Strafsachen (Art. 59 Abs. 1 Bst. b StPO). Vorliegend zeigt sich der Ge- suchsteller in der Hauptsache mit der Nichtanhandnahmeverfügung des Gesuch- gegners nicht einverstanden. Insoweit ist das Ausstandsgesuch fristgerecht erfolgt und genügt mit Blick auf die Begründungsanforderungen an eine Laieneingabe ganz knapp den Formvorschriften. Soweit sich das Ausstandsgesuch auf frühere Verfahren beziehen sollte, ist das Ausstandsgesuch offensichtlich verspätet. Wie sich aus der Formulierung von Art. 58 StPO «ohne Verzug […], sobald sie vom Ausstandsgrund Kenntnis hat» ergibt, kann das Recht auf Ausstand nicht ohne zeitliche Beschränkung geltend gemacht werden. Nach der Rechtsprechung des Bundesgerichts muss der Ableh- nungsgrund unverzüglich nach dessen Kenntnisnahme geltend gemacht werden; andernfalls ist der Anspruch verwirkt (BGE 140 I 271 E. 8.4.3 mit Hinweisen). Der Ausstand ist mithin so früh wie möglich, d.h. in den nächsten Tagen nach Kennt- nisnahme, zu verlangen. Ein Ablehnungsgesuch, das erst nach zwei Wochen ge- stellt wird, ist klarerweise verspätet (vgl. Urteile des Bundesge- richts 1B_513/2017 vom 5. März 2018 E. 3.2, 1B_58/2017 vom 5. April 2017 E. 2.3 und 6B_973/2016 vom 7. März 2017 E. 3.3.2, je mit Hinweisen). «Ohne Verzug bedeutet innerhalb der nächsten Tage, sicher innerhalb einer Frist unter einer Wo- che» (vgl. SCHNELL/STEFFEN, Schweizerisches Strafprozessrecht in der Praxis, 2019, S. 66, mit Hinweis). In Bezug auf weitere Verfahren ist auf das Ausstandsge- such daher nicht einzutreten.</w:t>
      </w:r>
    </w:p>
    <w:p>
      <w:r>
        <w:rPr>
          <w:b/>
        </w:rPr>
        <w:t>E. 3.1</w:t>
      </w:r>
    </w:p>
    <w:p>
      <w:r>
        <w:t>Die verfassungsmässige Garantie von Art. 30 Abs. 1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Befangenheit bezeichnet eine innere Einstellung zu den Verfahrensbeteiligten oder zum Gegenstand des konkreten Verfahrens, welche die gebotene Distanz vermissen lässt und aus der heraus die Person sach- fremde Elemente einfliessen lässt mit der Folge, dass sie einen Verfahrensbeteilig- ten benachteiligt oder bevorzugt oder zumindest dazu neigt (BOOG, in: Basler Kommentar StPO, 3. Aufl. 2023, N. 7 vor Art. 56-60 StPO). Ob der Anschein von Befangenheit vorliegt, beurteilt sich ohne Rücksicht auf das subjektive Empfinden der Verfahrenspartei. Die strafprozessualen Bestimmungen über den Ausstand (Art. 56 StPO) konkretisieren die verfassungsmässigen Garantien gemäss Art. 30 (bzw. Art. 29) BV. Gemäss Art. 56 Bst. f StPO tritt eine in einer Strafbehörde tätige Person in den Ausstand, wenn sie aus anderen Gründen, insbesondere wegen Freundschaft oder Feindschaft mit einer Partei oder deren Rechtsbeistand, befan- gen sein könnte. Bei dieser Bestimmung handelt es sich um eine Generalklausel, welche alle Ausstandsgründe erfasst, die in Art. 56 Bst. a-e StPO nicht ausdrück- lich vorgesehen sind. Entscheidendes Kriterium ist, ob bei problematischen Kon- stellationen der Ausgang des Verfahrens bei objektiver Betrachtungsweise noch als offen erscheint (BOOG, a.a.O., N. 38 zu Art. 56 StPO). Rechts- bzw. Verfahrensfeh- ler sind mit den zur Verfügung stehenden Rechtsmitteln zu korrigieren und lassen in der Regel keine Schlüsse auf Befangenheit zu, es sei denn, es handle sich um besonders schwerwiegende oder sich wiederholende Mängel (Urteile des Bundes- gerichts 1B_209/2021 vom 10. August 2021 E. 5.2; 1B_119/2018 vom 29. Mai 2018 E. 6.5.2; 1B_294/2009 vom 20. Januar 2010 E. 4.2).</w:t>
      </w:r>
    </w:p>
    <w:p>
      <w:r>
        <w:rPr>
          <w:b/>
        </w:rPr>
        <w:t>E. 3.2</w:t>
      </w:r>
    </w:p>
    <w:p>
      <w:r>
        <w:t>Dem Ausstandsgesuch kann als Begründung entnommen werden, dass Staatsan- walt C.________ befangen sei und die Geschäfte des Gesuchstellers nicht führen dürfe. Dieser habe ihm mehrmals mündlich erklärt, dass er A.________ Anwalt sei. Staatsanwalt C.________ habe ihn mehrmals verleumdet und seine Bestätigung des Notars als Urkundenfälschung qualifiziert. Dadurch sei ihm ein grosser Scha- den entstanden. In seinen abschliessenden Bemerkungen beantragt der Gesuch- steller die Abweisung der Stellungnahme des Gesuchgegners und der Beschuldig- ten, ohne jedoch weiter darauf einzugehen.</w:t>
      </w:r>
    </w:p>
    <w:p>
      <w:r>
        <w:rPr>
          <w:b/>
        </w:rPr>
        <w:t>E. 3.3</w:t>
      </w:r>
    </w:p>
    <w:p>
      <w:r>
        <w:t>Das Ausstandsgesuch ist unbegründet. Die Vorbringen des Gesuchstellers vermö- gen keinen Ausstandsgrund gegen den Gesuchsgegner zu manifestieren. Es lie- gen keine konkreten Anhaltspunkte vor, welche den Anschein der Befangenheit oder Voreingenommenheit des Gesuchsgegners erwecken könnten. Der Gesuch- steller wendet sich gegen Staatsanwalt C.________. Als Staatsanwalt obliegt die- sem im Vorverfahren die Leitung des Verfahrens, so dass ihm die Verantwortung für die gesetzmässige und geordnete Durchführung des Verfahrens zukommt (Art. 61 Bst. a und 62 Abs. 1 StPO). Während des Vorverfahrens muss die Staats- anwaltschaft von Amtes wegen alle bedeutsamen Tatsachen abklären und belas-</w:t>
      </w:r>
    </w:p>
    <w:p>
      <w:r>
        <w:rPr>
          <w:b/>
        </w:rPr>
        <w:t>E. 3.4</w:t>
      </w:r>
    </w:p>
    <w:p>
      <w:r>
        <w:t>Nach dem Gesagten erweist sich das Ausstandsgesuch damit als unbegründet und ist abzuweisen.</w:t>
      </w:r>
    </w:p>
    <w:p>
      <w:r>
        <w:rPr>
          <w:b/>
        </w:rPr>
        <w:t>E. 4</w:t>
      </w:r>
    </w:p>
    <w:p>
      <w:r>
        <w:t>Bei diesem Ausgang des Verfahrens wird der Gesuchsteller kostenpflichtig (Art. 59 Abs. 4 StPO). Entsprechend ist ihm keine Entschädigung auszurichten.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