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26 vom 11. Januar 2023</w:t>
      </w:r>
    </w:p>
    <w:p>
      <w:r>
        <w:t>BE Obergericht, 2023-01-11, DE</w:t>
      </w:r>
    </w:p>
    <w:p>
      <w:r>
        <w:rPr>
          <w:b/>
        </w:rPr>
        <w:t xml:space="preserve">Quelle: </w:t>
      </w:r>
      <w:r>
        <w:t>https://mcp.opencaselaw.ch/entscheid/be_zivilstraf_BK_2023_26</w:t>
      </w:r>
    </w:p>
    <w:p>
      <w:r>
        <w:t>FR: BE_ZIVILSTRAF BK 2023 26 du 11 janvier 2023</w:t>
      </w:r>
    </w:p>
    <w:p>
      <w:r>
        <w:t>IT: BE_ZIVILSTRAF BK 2023 26 del 11 gennaio 2023</w:t>
      </w:r>
    </w:p>
    <w:p>
      <w:pPr>
        <w:pStyle w:val="Heading2"/>
      </w:pPr>
      <w:r>
        <w:t>Regeste</w:t>
      </w:r>
    </w:p>
    <w:p>
      <w:r>
        <w:t>Nichtanhandnahme; Strafverfahren wegen Betrugs | Einstellung/Nichtanhandnahme</w:t>
      </w:r>
    </w:p>
    <w:p>
      <w:pPr>
        <w:pStyle w:val="Heading2"/>
      </w:pPr>
      <w:r>
        <w:t>Erwägungen</w:t>
      </w:r>
    </w:p>
    <w:p>
      <w:r>
        <w:rPr>
          <w:b/>
        </w:rPr>
        <w:t>E. 1</w:t>
      </w:r>
    </w:p>
    <w:p>
      <w:r>
        <w:t>Mit Verfügung vom 11. Januar 2023 nahm die Regionale Staatsanwaltschaft Bern- Mittelland (nachfolgend: Staatsanwaltschaft) das Strafverfahren gegen A.________ (nachfolgend: Beschuldigter 1) und B.________ (nachfolgend: Beschuldigte 2) we- gen Betrugs zum Nachteil der C.________ GmbH (nachfolgend: Beschwerdeführe- rin) nicht an die Hand. Dagegen erhob diese am 24. Januar 2023 Beschwerde und verlangte, die Nichtanhandnahmeverfügung sei aufzuheben und die Staatsanwalt- schaft anzuweisen, ein Verfahren gegen die Beschuldigten zu eröffnen. Gestützt dar- auf wurde mit Verfügung vom 2. Februar 2023 ein Beschwerdeverfahren eröffnet. In ihrer Stellungnahme vom 14. Februar 2023 beantragte die Generalstaatsanwalt- schaft die kostenfällige Abweisung der Beschwerde. Der Beschuldigte 1 beantragte am 13. Februar 2023, die Beschwerde sei unter Kosten- und Entschädigungsfolgen abzuweisen. Die Beschwerdeführerin reichte mit Schreiben vom 25. Februar 2023 ihre abschliessenden Bemerkungen ein und verlangte erneut die Aufhebung der Nichtanhandnahmeverfügung.</w:t>
      </w:r>
    </w:p>
    <w:p>
      <w:r>
        <w:rPr>
          <w:b/>
        </w:rPr>
        <w:t>E. 2</w:t>
      </w:r>
    </w:p>
    <w:p>
      <w:r>
        <w:t>des Organisationsreglements des Obergerichts [OrR OG; BSG 162.11]). Die Be- schwerdeführerin ist durch die angefochtene Verfügung unmittelbar in ihren rechtlich geschützten Interessen betroffen und somit zur Beschwerdeführung legitimiert (Art. 382 Abs. 1 i.V.m. Art. 104 Abs. 1 Bst. b StPO). Auf die frist- und formgerecht eingereichte Beschwerde ist einzutreten.</w:t>
      </w:r>
    </w:p>
    <w:p>
      <w:r>
        <w:rPr>
          <w:b/>
        </w:rPr>
        <w:t>E. 3</w:t>
      </w:r>
    </w:p>
    <w:p>
      <w:r>
        <w:t>Begründung abgelehnt habe, ihnen sei im Werkvertrag mit der Beschwerdeführerin ein unbeschränktes Nutzungsrecht der Lizenzen eingeräumt worden, wobei der ver- einbarte Pauschalpreis sämtliche Kosten abdecken würde. Der Werkvertrag enthalte zudem keine Ausführungen zur Beschränkung der Stückzahlen. Zusammenfassend wirft die Beschwerdeführerin den Beschuldigten vor, vorsätzlich und betrügerisch ge- handelt zu haben, da sie gewusst hätten, dass die Pauschal-Lizenzgebühr von der vereinbarten Stückzahl abhänge.</w:t>
      </w:r>
    </w:p>
    <w:p>
      <w:r>
        <w:rPr>
          <w:b/>
        </w:rPr>
        <w:t>E. 4</w:t>
      </w:r>
    </w:p>
    <w:p>
      <w:r>
        <w:t>sowie zeitlicher Hinsicht unbeschränkte Lizenz zur Nutzung des Lizenzgegenstan- des für das Gemeindegebiet der Stadt Bern ein. Es sei dabei ausdrücklich auf eine Obergrenze für die Stückanzahl der Abfallbehälter zur Herstellung verzichtet worden. Die von der Beschwerdeführerin erwähnten E-Mails der Mitarbeiter seien vorliegend unbehelflich.</w:t>
      </w:r>
    </w:p>
    <w:p>
      <w:r>
        <w:rPr>
          <w:b/>
        </w:rPr>
        <w:t>E. 4.1</w:t>
      </w:r>
    </w:p>
    <w:p>
      <w:r>
        <w:t>Die Staatsanwaltschaft gelangte in der angefochtenen Nichtanhandnahmeverfügung zum Ergebnis, dass aus der Strafanzeige und den eingereichten Unterlagen nicht hervorgeht, inwiefern die Beschwerdeführerin bei der Unterzeichnung des Werkver- trages arglistig irregeführt worden sein soll. Der Straftatbestand des Betrugs gemäss Art. 146 des Schweizerischen Strafgesetzbuches [StGB; SR. 311.0] sei offensichtlich nicht erfüllt, wobei auch keine anderen Straftatbestände erfüllt seien. Die Staatsan- waltschaft stellte zudem fest, dass es weder in der Kompetenz noch im Aufgaben- gebiet der Strafverfolgungsbehörden liege, über vertragliche Streitigkeiten zu ent- scheiden. Vorliegend handle es sich offenkundig um eine zivilrechtliche Angelegen- heit, die keinerlei strafrechtliche Relevanz aufweise.</w:t>
      </w:r>
    </w:p>
    <w:p>
      <w:r>
        <w:rPr>
          <w:b/>
        </w:rPr>
        <w:t>E. 4.2</w:t>
      </w:r>
    </w:p>
    <w:p>
      <w:r>
        <w:t>Die Beschwerdeführerin rügt in ihrer Beschwerde vom 24. Januar 2023 zunächst, dass die Darstellung der Staatsanwaltschaft, wonach die Beschwerdeführerin der Ansicht sei, das unbeschränkte Nutzungsrecht an den Lizenzen beziehe sich nicht auf die Stückzahl des Lizenzgegenstandes und die Pauschalgebühr sei anhand 400 Exemplaren berechnet worden, falsch sei. Sie führt aus, sie habe die diesbe- züglichen Beweise durch die Einreichung der beigelegten Dokumente erbracht, wes- halb es sich nicht um eine Ansichtssache handle, sondern um Fakten. Dabei bezieht sich die Beschwerdeführerin insbesondere auf zwei E-Mails von Mitarbeitern des Be- schuldigten 1, welche beweisen sollen, dass die Beschuldigten bei der Abfassung der Verträge von einer exakt definierten Begrenzung der Stückzahlen ausgegangen seien. Des Weiteren stehe fest, dass die Beschuldigten wissentlich und zum erheb- lichen finanziellen Nachteil der Beschwerdeführerin die vertraglichen Vereinbarun- gen missbraucht sowie arglistig und betrügerisch gehandelt hätten.</w:t>
      </w:r>
    </w:p>
    <w:p>
      <w:r>
        <w:rPr>
          <w:b/>
        </w:rPr>
        <w:t>E. 4.3</w:t>
      </w:r>
    </w:p>
    <w:p>
      <w:r>
        <w:t>Der Beschuldigte 1 bringt in seiner Stellungnahme vom 13. Februar 2023 vor, es sei fraglich, ob die Ausführungen der Beschwerdeführerin überhaupt zulässige Be- schwerdegründe gemäss Art. 393 Abs. 2 StPO darstellten. Dabei verweist er auf die Ausführungen der Staatsanwaltschaft, wonach der Straftatbestand des Betrugs kla- rerweise nicht erfüllt sei. Wenn überhaupt, handle es sich um eine zivilrechtliche Streitigkeit. Insbesondere bleibe völlig unklar, durch welche Tathandlung der Be- schuldigte 1 den Betrug begangen haben solle. Die Beschwerdeführerin habe sich in ihrer Beschwerde mit diesen Ausführungen gar nicht auseinandergesetzt. Das A.________ habe mit der Beschwerdeführerin einen Werkvertrag über die Erstellung von Fertigungsunterlagen abgeschlossen, worin ein unbeschränktes Nutzungsrecht der Lizenzen an den Fertigungsunterlagen festgehalten worden sei. Dieses räume ihnen eine unwiderrufliche, sublizenzierbare, übertragene und in örtlicher, sachlicher</w:t>
      </w:r>
    </w:p>
    <w:p>
      <w:r>
        <w:rPr>
          <w:b/>
        </w:rPr>
        <w:t>E. 4.4</w:t>
      </w:r>
    </w:p>
    <w:p>
      <w:r>
        <w:t>Die Generalstaatsanwaltschaft verweist in ihrer Stellungnahme vom 14. Fe- bruar 2023 auf die Ausführungen in der angefochtenen Verfügung.</w:t>
      </w:r>
    </w:p>
    <w:p>
      <w:r>
        <w:rPr>
          <w:b/>
        </w:rPr>
        <w:t>E. 5</w:t>
      </w:r>
    </w:p>
    <w:p>
      <w:r>
        <w:t>Täter von der Überprüfung abgehalten wird oder wenn der Täter aufgrund besonde- rer Umstände damit rechnet, das Opfer werde von einer Überprüfung absehen (BGE 135 IV 81, 122 IV 248, 119 IV 35). Die Arglist wird bei einfachen Lügen auch dann bejaht, wenn der Täter ein ihm entgegengebrachtes besonderes Vertrauen ausnutzt (BGE 118 IV 38 E. 2). Die Täuschung muss beim Gegenüber einen Irrtum zur Folge haben. Ein Irrtum besteht in der Abweichung zwischen Vorstellung und Wirklichkeit. Der Getäuschte muss aufgrund dieses Irrtums eine rechtliche oder tatsächliche Vermögensdisposition vornehmen. Die Vermögensdisposition muss freiwillig erfolgen, sonst handelt es sich um Diebstahl (vgl. BGE 78 IV 84 E. 2). Voll- endet ist der Betrug mit dem Eintritt des Vermögensschadens (BGE 124 IV 241 E. 4c-d).</w:t>
      </w:r>
    </w:p>
    <w:p>
      <w:r>
        <w:rPr>
          <w:b/>
        </w:rPr>
        <w:t>E. 5.1</w:t>
      </w:r>
    </w:p>
    <w:p>
      <w:r>
        <w:t>Gemäss Art. 310 Abs. 1 Bst. a StPO verfügt die Staatsanwaltschaft die Nichtanhand- nahme, sobald aufgrund der Strafanzeige oder des Polizeirapports feststeht, dass die fraglichen Straftatbestände oder die Prozessvoraussetzungen eindeutig nicht er- füllt sind. Es muss mit anderen Worten sicher sein, dass der Sachverhalt unter kei- nen Straftatbestand fällt, was etwa der Fall ist bei rein zivilrechtlichen Streitigkeiten (OMLIN, in: Basler Kommentar, Schweizerische Strafprozessordnung, 2. Aufl. 2014, N. 9 zu Art. 310 StPO). Eine Nichtanhandnahme darf nur in sachverhaltsmässig und rechtlich klaren Fällen ergehen. Im Zweifelsfall ist eine Untersuchung zu eröffnen (BGE 137 IV 285 E. 2.3 mit Hinweisen). Ergibt sich nach durchgeführter Untersu- chung, dass kein Straftatbestand erfüllt ist, stellt die Staatsanwaltschaft das Straf- verfahren gestützt auf Art. 319 StPO ein. Wie das Bundesgericht wiederholt festgehalten hat, steht das Strafverfahren nicht als blosses Vehikel zur Durchsetzung allfälliger zivilrechtlicher Ansprüche zur Verfü- gung. Es ist namentlich nicht die Aufgabe der Strafbehörden, dem Beschwerdeführer im Hinblick auf einen möglichen Zivilprozess gegen den Beschwerdegegner die Mühen und das Kostenrisiko der Sammlung von Beweisen zu ersparen […] (Urteil des Bundesgerichts 6B_553/2019 vom 6. November 2019 E. 4.2. mit Hinweisen).</w:t>
      </w:r>
    </w:p>
    <w:p>
      <w:r>
        <w:rPr>
          <w:b/>
        </w:rPr>
        <w:t>E. 5.2</w:t>
      </w:r>
    </w:p>
    <w:p>
      <w:r>
        <w:t>Einen Betrug im Sinne von Art. 146 des Schweizerischen Strafgesetzbuches (StGB; SR 311.0) begeht, wer in der Absicht, sich oder einen andern unrechtmässig zu be- reichern, jemanden durch Vorspiegelung oder Unterdrückung von Tatsachen arglis- tig irreführt oder ihn in einem Irrtum arglistig bestärkt und so den Irrenden zu einem Verhalten bestimmt, wodurch dieser sich selbst oder einen andern am Vermögen schädigt. Unter Täuschung versteht man jedes Verhalten, das darauf gerichtet ist, bei einer anderen Person eine von der Wirklichkeit abweichende Vorstellung hervor- zurufen (BGE 127 IV 163 E. 2). Nicht jede Täuschung, nicht jede List, wird von Art. 146 StGB erfasst; nur die arglistige Täuschung (BGE 119 IV 28 E. 3). Arglist ist unter anderem gegeben, wenn sich der Täter betrügerischer Machenschaften be- dient. Als besondere Machenschaften gelten Erfindungen und Vorkehren, aber auch das Ausnützen von Begebenheiten, die allein oder gestützt durch Lügen oder Kniffe geeignet sind, das Opfer irrezuführen (BGE 135 IV 76 E. 5.2). Ausserdem wird die Arglist durch die Praxis dort bejaht, wo der Täter ein ganzes Lügengebäude errichtet, das von besonderer Hinterhältigkeit zeugt. Es kommt allerdings nicht alleine auf die Menge der Lügen an. Diese müssen derart raffiniert aufeinander abgestimmt sein, dass auch ein kritisches Opfer getäuscht werden kann (BGE 119 IV 35 E. 3c). Ein- fache Lügen sind dann arglistig, wenn sie nicht ohne besondere Mühe überprüfbar sind, die Überprüfung dem Getäuschten nicht zumutbar ist, der Getäuschte vom</w:t>
      </w:r>
    </w:p>
    <w:p>
      <w:r>
        <w:rPr>
          <w:b/>
        </w:rPr>
        <w:t>E. 6</w:t>
      </w:r>
    </w:p>
    <w:p>
      <w:r>
        <w:t>Die Staatsanwaltschaft hat zu Recht kein Strafverfahren an die Hand genommen: Wie in der angefochtenen Verfügung zutreffend ausgeführt, handelt es sich vorlie- gend um eine rein zivilrechtliche Angelegenheit. Die Parteien sind sich uneinig darü- ber, ob eine vertragliche Beschränkung der Stückzahl des Lizenzgegenstandes ver- einbart worden ist oder nicht. Aus den Eingaben der Beschwerdeführerin wird er- sichtlich, dass die Geltendmachung einer entsprechenden Nachforderung des Pau- schalpreises im Vordergrund steht. Über diese wäre in einem allfälligen Zivilprozess zu entscheiden; eine strafrechtliche Relevanz ist nicht erkennbar. Die Beschwerde- führerin vermag in ihren Eingaben an die Beschwerdekammer nicht darzutun, wes- halb die Staatsanwaltschaft angeblich zu Unrecht kein Verfahren an die Hand ge- nommen hat. Sie setzt sich, wie der Beschuldigte zutreffend ausführt, mit den Aus- führungen der angefochtenen Nichtanhandnahmeverfügung überhaupt nicht ausein- ander. Inwiefern der Beschuldigte eine Betrugshandlung bzw. eine arglistige Täu- schung begangen, sich besonderer Machenschaften oder dem Einsatz von Lügen- gebilden (vgl. oben) bedient haben soll, bleibt unklar. Aus den Unterlagen sind keine entsprechenden Hinweise ersichtlich, welche auf ein arglistiges Verhalten hindeuten. Der Sachverhalt fällt somit weder unter den Straftatbestand des Betrugs noch unter einen anderen Straftatbestand, welcher eine Eröffnung einer Strafuntersuchung rechtfertigen würde. Vielmehr wiederholt die Beschwerdeführerin lediglich ihre ur- sprünglichen Ausführungen in ihren Eingaben vom 24. Januar 2023 und 25. Februar 2023, welche sich ausschliesslich auf die Auslegung des Vertragsinhalts und die Be- gründung ihrer Geldforderung beziehen. Es handelt sich offensichtlich um eine reine zivilrechtliche Streitigkeit. Wie die Staatsanwaltschaft zutreffend ausführte, liegt es somit weder in der Kompetenz noch im Aufgabenbereich der Strafverfolgungsbehör- den, über vertragliche Streitigkeiten zu entscheiden.</w:t>
      </w:r>
    </w:p>
    <w:p>
      <w:r>
        <w:rPr>
          <w:b/>
        </w:rPr>
        <w:t>E. 7</w:t>
      </w:r>
    </w:p>
    <w:p>
      <w:r>
        <w:t>Die Beschwerde erweist sich vor diesem Hintergrund als unbegründet und ist abzu- weisen.</w:t>
      </w:r>
    </w:p>
    <w:p>
      <w:r>
        <w:rPr>
          <w:b/>
        </w:rPr>
        <w:t>E. 8</w:t>
      </w:r>
    </w:p>
    <w:p>
      <w:r>
        <w:t>Bei diesem Ausgang des Verfahrens sind die Kosten des Beschwerdeverfahrens in Anwendung von Art. 428 Abs. 1 StPO der Beschwerdeführerin aufzuerlegen. Sie werden bestimmt auf CHF 1'000.00. Der unterliegenden Beschwerdeführerin ist ent- sprechend keine Entschädigung auszurichten. Den anwaltlich nicht vertretenen Be- schuldigten ist mangels entschädigungswürdiger Nachteile ebenfalls keine Entschä- digung auszurichten (Art. 430 Abs. 1 Bst. c i.V.m. Art. 436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