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2023 208 vom 17. April 2023</w:t>
      </w:r>
    </w:p>
    <w:p>
      <w:r>
        <w:t>BE Obergericht, 2023-04-17, DE</w:t>
      </w:r>
    </w:p>
    <w:p>
      <w:r>
        <w:rPr>
          <w:b/>
        </w:rPr>
        <w:t xml:space="preserve">Quelle: </w:t>
      </w:r>
      <w:r>
        <w:t>https://mcp.opencaselaw.ch/entscheid/be_zivilstraf_BK_2023_208</w:t>
      </w:r>
    </w:p>
    <w:p>
      <w:r>
        <w:t>FR: BE_ZIVILSTRAF BK 2023 208 du 17 avril 2023</w:t>
      </w:r>
    </w:p>
    <w:p>
      <w:r>
        <w:t>IT: BE_ZIVILSTRAF BK 2023 208 del 17 aprile 2023</w:t>
      </w:r>
    </w:p>
    <w:p>
      <w:pPr>
        <w:pStyle w:val="Heading2"/>
      </w:pPr>
      <w:r>
        <w:t>Regeste</w:t>
      </w:r>
    </w:p>
    <w:p>
      <w:r>
        <w:t>Gültigkeit der Einsprache / Rechtsgültige Eröffnung des Strafbefehls | Andere Verfügungen Gericht (393-b)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17. April 2023 befand das Regionalgericht Oberland, Einzelge- richt (nachfolgend: Regionalgericht), der Strafbefehl O 2021 9702 der Regionalen Staatsanwaltschaft Oberland (nachfolgend: Staatsanwaltschaft) vom 19. Oktober 2021 gegen A.________ (nachfolgend: Beschuldigter) sei nicht rechtsgültig eröffnet worden. Hiergegen erhob die Staatsanwaltschaft am 19. Mai 2023 Beschwerde bei der Beschwerdekammer in Strafsachen des Obergerichts des Kantons Bern (nach- folgend: Beschwerdekammer). Das Regionalgericht beantragte mit Stellungnahme vom 26. Mai 2023 die Gutheissung der Beschwerde. Der Beschuldigte liess sich nicht vernehmen.</w:t>
      </w:r>
    </w:p>
    <w:p>
      <w:r>
        <w:rPr>
          <w:b/>
        </w:rPr>
        <w:t>E. 2</w:t>
      </w:r>
    </w:p>
    <w:p>
      <w:r>
        <w:t>des Organisationsreglements des Obergerichts [OrR OG; BSG 162.11]). Die ver- fahrensleitende Staatsanwältin ist zur vorliegenden Beschwerde legitimiert (Art. 381 Abs. 1 StPO; Art. 62 Abs. 1 Bst. a des Einführungsgesetzes zur Zivilpro- zessordnung, zur Strafprozessordnung und zur Jugendstrafprozessordnung). Auf die form- und fristgerechte Beschwerde ist einzutreten.</w:t>
      </w:r>
    </w:p>
    <w:p>
      <w:r>
        <w:rPr>
          <w:b/>
        </w:rPr>
        <w:t>E. 3</w:t>
      </w:r>
    </w:p>
    <w:p>
      <w:r>
        <w:t>Die Staatsanwaltschaft hat ihre Beschwerde damit begründet, das Regionalgericht habe übersehen, dass Strafbefehle gemäss Art. 88 Abs. 4 StPO auch ohne amtli- che Publikation als veröffentlicht gälten. Das Regionalgericht hat sich dieser zutref- fenden Argumentation angeschlossen. Die Beschwerde ist entsprechend gutzu- heissen.</w:t>
      </w:r>
    </w:p>
    <w:p>
      <w:r>
        <w:rPr>
          <w:b/>
        </w:rPr>
        <w:t>E. 4</w:t>
      </w:r>
    </w:p>
    <w:p>
      <w:r>
        <w:t>Bei diesem Ausgang des Verfahrens trägt der Kanton Bern die Verfahrenskosten, bestimmt auf CHF 300.00 (Art. 428 Abs. 1 StPO). Dem Beschuldigten ist mangels Stellungnahme kein entschädigungswürdiger Nachteil entstanden.</w:t>
      </w:r>
    </w:p>
    <w:p>
      <w:r>
        <w:t>3 Die Beschwerdekammer in Strafsachen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