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 vom 17. Januar 2023</w:t>
      </w:r>
    </w:p>
    <w:p>
      <w:r>
        <w:t>BE Obergericht, 2023-01-17, DE</w:t>
      </w:r>
    </w:p>
    <w:p>
      <w:r>
        <w:rPr>
          <w:b/>
        </w:rPr>
        <w:t xml:space="preserve">Quelle: </w:t>
      </w:r>
      <w:r>
        <w:t>https://mcp.opencaselaw.ch/entscheid/be_zivilstraf_BK_2023_2</w:t>
      </w:r>
    </w:p>
    <w:p>
      <w:r>
        <w:t>FR: BE_ZIVILSTRAF BK 2023 2 du 17 janvier 2023</w:t>
      </w:r>
    </w:p>
    <w:p>
      <w:r>
        <w:t>IT: BE_ZIVILSTRAF BK 2023 2 del 17 gennaio 2023</w:t>
      </w:r>
    </w:p>
    <w:p>
      <w:pPr>
        <w:pStyle w:val="Heading2"/>
      </w:pPr>
      <w:r>
        <w:t>Regeste</w:t>
      </w:r>
    </w:p>
    <w:p>
      <w:r>
        <w:t>Haftentlassungsgesuch | ZMG Haft (393-c)</w:t>
      </w:r>
    </w:p>
    <w:p>
      <w:pPr>
        <w:pStyle w:val="Heading2"/>
      </w:pPr>
      <w:r>
        <w:t>Erwägungen</w:t>
      </w:r>
    </w:p>
    <w:p>
      <w:r>
        <w:rPr>
          <w:b/>
        </w:rPr>
        <w:t>E. 1</w:t>
      </w:r>
    </w:p>
    <w:p>
      <w:r>
        <w:t>Das Regionalgericht Emmental-Oberaargau (nachfolgend: Regionalgericht) verur- teilte A.________ (Verurteilter/Beschwerdeführer; nachfolgend: Beschwerdeführer) am 10. Oktober 2017 wegen einfacher Körperverletzung mit gefährlichem Gegen- stand, einfacher Körperverletzung, mehrfach begangener Drohung, versuchter Nötigung, mehrfach begangener Beschimpfung, mehrfach begangenen Miss- brauchs einer Fernmeldeanlage und mehrfach begangener Widerhandlungen ge- gen das Bundesgesetz über die Betäubungsmittel und die psychotropen Stoffe (Betäubungsmittelgesetz, BetmG; SR 812.121) zu einer Freiheitsstrafe von sechs Monaten, einer Geldstrafe von 10 Tagessätzen à CHF 30.00 und einer Übertre- tungsbusse von CHF 400.00, je als Zusatz- bzw. Teilzusatzstrafe zum Urteil des Regionalgerichts vom 17. Dezember 2015. Gleichzeitig wurde eine stationäre the- rapeutische Massnahme nach Art. 59 des Schweizerischen Strafgesetzbuches (StGB; SR 311.0) angeordnet und erklärt, dass der Vollzug der Massnahme der Freiheitsstrafe vorausgehe. Als Vollzugsbeginn wurde der 21. Oktober 2017 festge- legt, da sich der Beschwerdeführer zunächst noch im Strafvollzug befand. Am 23. September 2022 stellte das Amt für Justizvollzug des Kantons Bern, Be- währungs- und Vollzugsdienste (nachfolgend: BVD), beim Regionalgericht den An- trag, es sei die mit Urteil vom 10. Oktober 2017 angeordnete stationäre therapeuti- sche Massnahme um weitere fünf Jahre, d.h. bis zum 20. Oktober 2027, zu verlän- gern. Gestützt auf das Erreichen der Höchstdauer der angeordneten stationären therapeutischen Massnahme am 20. Oktober 2022 sowie die Tatsache, dass die Hauptverhandlung im nachträglichen Verfahren voraussichtlich frühestens Ende Februar/Anfang März 2023 wird stattfinden können, ordnete das Regionale Zwangsmassnahmengericht Emmental-Oberaargau (nachfolgend: Zwangsmass- nahmengericht) auf Antrag des Regionalgerichts mit Entscheid vom 5. Oktober 2022 Sicherheitshaft an und versetzte den Beschwerdeführer ab dem 20. Oktober 2022 in Sicherheitshaft. Die Haftdauer wurde bis am 3. März 2023 beschränkt. Eine dagegen vom Beschwerdeführer, amtlich verteidigt durch Rechtsanwalt B.________, erhobene Beschwerde wies die Beschwerdekammer in Strafsachen mit Beschluss BK 22 445 vom 3. November 2022 ab. Am 6. Dezember 2022 (Postaufgabe: 12. Dezember 2022) stellte der Beschwerde- führer beim Regionalgericht ein Haftentlassungsgesuch. Er beantragte seine sofor- tige Entlassung aus der Sicherheitshaft. Die gesamten Untersuchungs- und Ge- richtskosten seien dem Kanton Bern aufzuerlegen. Ausserdem sei ihm rückwirkend ab dem 20. Oktober 2022 für jeden Tag in Sicherheitshaft Schadenersatz in der Höhe von CHF 400.00 auszurichten. Das Regionalgericht entsprach dem Haftent- lassungsgesuch nicht und stellte infolgedessen am 13. Dezember 2022 beim Zwangsmassnahmengericht den Antrag, dieses sei abzuweisen. Mit Entscheid vom 22. Dezember 2022 wies das Zwangsmassnahmengericht das Haftentlassungsge- such ab. Hiergegen erhob der Beschwerdeführer am 29. Dezember 2022 persön- lich Beschwerde. Er stellte folgende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