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2022 475 vom 12. Oktober 2023</w:t>
      </w:r>
    </w:p>
    <w:p>
      <w:r>
        <w:t>BE Obergericht, 2023-10-12, DE</w:t>
      </w:r>
    </w:p>
    <w:p>
      <w:r>
        <w:rPr>
          <w:b/>
        </w:rPr>
        <w:t xml:space="preserve">Quelle: </w:t>
      </w:r>
      <w:r>
        <w:t>https://mcp.opencaselaw.ch/entscheid/be_zivilstraf_BK_2022_475</w:t>
      </w:r>
    </w:p>
    <w:p>
      <w:r>
        <w:t>FR: BE_ZIVILSTRAF BK 2022 475 du 12 octobre 2023</w:t>
      </w:r>
    </w:p>
    <w:p>
      <w:r>
        <w:t>IT: BE_ZIVILSTRAF BK 2022 475 del 12 ottobre 2023</w:t>
      </w:r>
    </w:p>
    <w:p>
      <w:pPr>
        <w:pStyle w:val="Heading2"/>
      </w:pPr>
      <w:r>
        <w:t>Regeste</w:t>
      </w:r>
    </w:p>
    <w:p>
      <w:r>
        <w:t>Einstellung; ungetreue Geschäftsbesorgung, Betrug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Aufgrund einer Strafanzeige vom 26. Juni 2021 von F.________, privat vertreten durch Rechtsanwalt G.________, (nachfolgend: Anzeigeerstatter) eröffnete die Kan- tonale Staatsanwaltschaft für Wirtschaftsdelikte (nachfolgend: Staatsanwaltschaft) am 19. August 2021 eine Strafuntersuchung (W 21 352) gegen A.________ (nach- folgend: Beschuldigter) wegen ungetreuer Geschäftsbesorgung zum Nachteil der B.________ AG (heute: B.________ AG in Liquidation; nachfolgend: Beschwerde- führerin 1), der D.________ AG (heute: D.________ AG in Liquidation; nachfolgend: Beschwerdeführerin 2), der H.________ AG (heute: I.________ AG) und der J.________ AG (heute: J.________ AG in Liquidation), angeblich mehrfach began- gen in der Zeit von 2015 bis 2019, sowie wegen Betrugs zum Nachteil des Anzeige- erstatters, angeblich begangen am 18. März 2019. Mit Verfügung vom 14. Novem- ber 2022 stellte die Staatsanwaltschaft das Strafverfahren gegen den Beschuldigten ein (Ziff. 1 und 2 des Dispositivs). Der Anzeigeerstatter wurde bezüglich des Vor- wurfs des Betrugs, nicht aber hingegen bezüglich des Vorwurfs der ungetreuen Ge- schäftsbesorgung, als Privatkläger im Strafverfahren zugelassen (Ziff. 3 des Dispo- sitivs). Die Beschwerdeführerin 1 und die Beschwerdeführerin 2 wurden mangels gültiger Konstituierung nicht als Privatklägerinnen im Strafverfahren zugelassen (Ziff. 4 des Dispositivs). Weiter wies die Staatsanwaltschaft die am 7. Novem- ber 2022 durch Rechtsanwalt G.________ gestellten Beweisanträge ab (Ziff. 5 des Dispositivs). Schliesslich entschied sie über die Verfahrenskosten, die Entschädi- gung, die Genugtuung und die Zivilklage (Ziff. 6 bis 9 des Dispositivs). Am 16. No- vember 2022 verfügte die Staatsanwaltschaft, dass Rechtsanwalt C.________ im Strafverfahren gegen den Beschuldigten aufgrund nicht rechtsgültiger Mandatierung als Rechtsbeistand der Beschwerdeführerin 1 und der Beschwerdeführerin 2 nicht zugelassen werde. Gegen diese Verfügungen erhoben die Beschwerdeführerin 1 und 2, vertreten durch Rechtsanwalt C.________, am 24. November 2022 Be- schwerde bei der Beschwerdekammer in Strafsachen des Obergerichts des Kantons Bern (nachfolgend: Beschwerdekammer) und beantragten: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