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441 vom 5. September 2022</w:t>
      </w:r>
    </w:p>
    <w:p>
      <w:r>
        <w:t>BE Obergericht, 2022-09-05, DE</w:t>
      </w:r>
    </w:p>
    <w:p>
      <w:r>
        <w:rPr>
          <w:b/>
        </w:rPr>
        <w:t xml:space="preserve">Quelle: </w:t>
      </w:r>
      <w:r>
        <w:t>https://mcp.opencaselaw.ch/entscheid/be_zivilstraf_BK_2022_441</w:t>
      </w:r>
    </w:p>
    <w:p>
      <w:r>
        <w:t>FR: BE_ZIVILSTRAF BK 2022 441 du 5 septembre 2022</w:t>
      </w:r>
    </w:p>
    <w:p>
      <w:r>
        <w:t>IT: BE_ZIVILSTRAF BK 2022 441 del 5 settembre 2022</w:t>
      </w:r>
    </w:p>
    <w:p>
      <w:pPr>
        <w:pStyle w:val="Heading2"/>
      </w:pPr>
      <w:r>
        <w:t>Regeste</w:t>
      </w:r>
    </w:p>
    <w:p>
      <w:r>
        <w:t>Nichtanhandnahme; Tätlichkeiten und Drohung | Einstellung/Nichtanhandnahme</w:t>
      </w:r>
    </w:p>
    <w:p>
      <w:pPr>
        <w:pStyle w:val="Heading2"/>
      </w:pPr>
      <w:r>
        <w:t>Erwägungen</w:t>
      </w:r>
    </w:p>
    <w:p>
      <w:r>
        <w:rPr>
          <w:b/>
        </w:rPr>
        <w:t>E. 1</w:t>
      </w:r>
    </w:p>
    <w:p>
      <w:r>
        <w:t>Mit Verfügung vom 5. September 2022 nahm die Regionale Staatsanwaltschaft Oberland (nachfolgend: Staatsanwaltschaft) das Verfahren gegen den Beschuldig- ten wegen Tätlichkeiten und Drohung nicht an die Hand. Dagegen reichte B.________ (nachfolgend: Beschwerdeführer) am 17. Oktober 2022 Beschwerde ein und beantragte sinngemäss die Eröffnung eines Strafverfahrens. Der Beschul- digte sowie die Generalstaatsanwaltschaft verzichteten am 26. Oktober bzw. 10. November 2022 auf das Einreichen einer Stellungnahme.</w:t>
      </w:r>
    </w:p>
    <w:p>
      <w:r>
        <w:rPr>
          <w:b/>
        </w:rPr>
        <w:t>E. 2</w:t>
      </w:r>
    </w:p>
    <w:p>
      <w:r>
        <w:t>StPO), weshalb der Beschwerdeführer im Falle eines gültigen Strafantrags Partei im Beschwerdeverfahren, durch die Nichtanhandnahme unmittelbar in seinen rechtlich geschützten Interessen betroffen und folglich zur Beschwerde legitimiert wäre. Da die Frage des gültigen Strafantrags auch Gegenstand der materiellen Beurteilung bildet, stellt sie eine doppelrelevante Tatsache dar, was dazu führt, dass unabhängig von der Parteistellung des Beschwerdeführers auf die form- und fristgerechte Beschwerde einzutreten ist.</w:t>
      </w:r>
    </w:p>
    <w:p>
      <w:r>
        <w:rPr>
          <w:b/>
        </w:rPr>
        <w:t>E. 3</w:t>
      </w:r>
    </w:p>
    <w:p>
      <w:r>
        <w:t>Gemäss Anzeigerapport vom 4. Januar 2021 kam es am 22. Oktober 2020 zwi- schen dem Beschwerdeführer, dem Beschuldigten, dessen Ehefrau und deren Sohn zu einer Auseinandersetzung, zu welcher die Polizei gerufen wurde. Der Be- schwerdeführer wurde gleichentags als beschuldigte Person einvernommen. Am</w:t>
      </w:r>
    </w:p>
    <w:p>
      <w:r>
        <w:rPr>
          <w:b/>
        </w:rPr>
        <w:t>E. 8</w:t>
      </w:r>
    </w:p>
    <w:p>
      <w:r>
        <w:t>Dezember 2020 und damit innert Frist einen Strafantrag gegen den Beschuldig- ten eingereicht hat. Zu prüfen bleibt, ob der Beschwerdeführer bereits vorgängig auf einen Strafantrag verzichtet hat. In diesem Fall ist sein Strafantragsrecht erlo-</w:t>
      </w:r>
    </w:p>
    <w:p>
      <w:r>
        <w:t>3 schen und er kann keinen Strafantrag mehr stellen (vgl. Art. 30 Abs. 5 des Schwei- zerischen Strafgesetzbuches [StGB; SR 311.0]). 4.2 Der Verzicht auf den Strafantrag muss ausdrücklich und bedingungslos erklärt werden. Er bedarf gemäss Art. 304 Abs. 2 StPO der gleichen Form wie der Strafan- trag selber (DONATSCH, in: StGB/JStG Kommentar, 21. Aufl. 2022, N. 14 zu Art. 30 StGB mit weiteren Hinweisen). Ein Verzicht auf einen Strafantrag ist daher nur gül- tig, wenn er bei der Polizei, der Staatsanwaltschaft oder der Übertretungsstraf- behörde schriftlich eingereicht oder mündlich zu Protokoll gegeben wurde (Urteil des Bundesgerichts 6B_1048/2019 vom 28. Januar 2020 E. 1.6.2 sowie RIEDO in: Basler Kommentar Strafrecht I, 4. Aufl. 2019, N. 121 sowie N. 119 zum Folgenden). Die Verzichtserklärung setzt inhaltlich voraus, dass der Berechtigte seinen Willen zum Ausdruck bringt, wegen eines begangenen Antragsdelikts solle keine Strafver- folgung stattfinden (BGE 90 IV 168 E. 1). Weiter kann ein Verzicht nur als solcher anerkannt werden, wenn er freiwillig erfolgt ist. Die Rechtslage ist insoweit dieselbe wie beim Rückzug des Strafantrages (RIEDO, a.a.O. N. 126 zu Art. 30 StGB). Somit handelt es sich auch beim Verzicht um eine grundsätzlich unwiderrufliche Willens- erklärung. Willensmängel im Sinne von Art. 23 ff. OR sind im Grunde genommen unbeachtlich. In analoger Anwendung von Art. 386 Abs. 3 StGB ist vom Grundsatz der Unbeachtlichkeit des Willensmangels dann eine Ausnahme zu machen, wenn die antragsberechtigte Person durch eine unrichtige behördliche Auskunft zu einem Verzicht veranlasst wurde. Diesfalls ist die antragsberechtigte Person in ihrem Ver- trauen zu schützen und der durch die unrichtige behördliche Information oder Zusi- cherung hervorgerufene Willensmangel beachtlich, womit der erklärte Verzicht des Strafantrags nicht endgültig ist (vgl. Beschluss des Obergerichts des Kantons Bern BK 22 307 vom 23. Februar 2023 E. 5.3.2). 4.3 Der Beschwerdeführer wurde in seiner Einvernahme vom 22. Oktober 2020 von der Polizei gefragt, ob er jemanden anzeigen wolle. Der Beschwerdeführer antwor- tete: «Also nein, ich will niemanden anzeigen. Das ist nicht mein Charakter» (S. 4, Z. 130). Die- se Aussage erfolgte freiwillig auf eine klare Frage hin. Es bestehen keine Hinweise, dass dieser Frage unrichtige behördliche Auskünfte vorangegangen sind oder der Beschwerdeführer die Bedeutung dieser Frage nicht richtig einschätzen konnte. Solches wird auch nicht geltend gemacht. Zwar sprach die Polizei nicht explizit von einem Strafantrag, aber es war mit Blick auf den Gesamtzusammenhang (der Be- schwerdeführer gab an, bedroht worden zu sein, Z. 126 f.) unmissverständlich, dass es bei dieser Frage nach einer Anzeige darum ging, ob der Beschwerdeführer selbst eine Strafverfolgung gegen den Beschuldigten bzw. dessen Sohn anstren- gen wollte. Der Verzicht auf eine Anzeige in diesem Zusammenhang ist mit einem Verzicht auf einen Strafantrag gleichzusetzen, zumal umgangssprachlich unter Lai- en mit Anzeige und Strafantrag regelmässig das Gleiche gemeint ist. Indem der Beschwerdeführer sagte, niemanden anzeigen zu wollen, und dies entsprechend begründete – das entspreche nicht seinem Charakter –, brachte er gegenüber der Polizei ausdrücklich, bedingungslos und abschliessend seinen Willen zum Aus- druck, keine Strafverfolgung gegen den Beschuldigten oder eine andere Person einleiten zu wollen. Dies stellt eine formgerechte Verzichtserklärung auf das Straf- antragsrecht dar.</w:t>
      </w:r>
    </w:p>
    <w:p>
      <w:r>
        <w:t>4 Der Beschwerdeführer führte in seiner Beschwerde aus, die Polizei habe ihm mit- geteilt, dass er ebenfalls Strafanträge einreichen könne. Wann und in welchem Zu- sammenhang diese Aufklärung erfolgt ist, zeigt er nicht auf. Allenfalls wurde damit beim Beschwerdeführer zwar der Eindruck erweckt, er könne auch nach der Ein- vernahme noch einen Strafantrag stellen. Eine solche Mitteilung ändert aber nichts an seinem ursprünglichen abschliessenden, vorbehaltslosen und inhaltlich begrün- deten Verzicht, keine Anzeige zu erheben. Der Beschwerdeführer macht denn auch nicht geltend, er sei durch eine unrichtige behördliche Auskunft zu einem Ver- zicht veranlasst worden. Er kann daher aus diesem Umstand nichts zu seinen Gunsten ableiten. Somit ging die Staatsanwaltschaft zu Recht von einem Verzicht auf einen Strafan- trag aus. Dieser ist gültig und unwiderruflich, weshalb das Strafantragsrecht des Beschwerdeführers erloschen ist. Die Beschwerde ist abzuweisen. 5. Bei diesem Ausgang des Verfahrens wird der Beschwerdeführer kostenpflichtig (Art. 428 Abs. 1 StPO). Entsprechend erhält er auch keine Entschädigung. Dem anwaltlich nicht vertretenen Beschuldigten sind durch das Beschwerdeverfahren keine entschädigungswürdigen Nachteile entstanden, weshalb auf die Ausrichtung einer Entschädigung verzichtet wird (Art. 430 Abs. 1 Bst. c i.V.m. Art. 436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