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369 vom 1. September 2022</w:t>
      </w:r>
    </w:p>
    <w:p>
      <w:r>
        <w:t>BE Obergericht, 2022-09-01, DE</w:t>
      </w:r>
    </w:p>
    <w:p>
      <w:r>
        <w:rPr>
          <w:b/>
        </w:rPr>
        <w:t xml:space="preserve">Quelle: </w:t>
      </w:r>
      <w:r>
        <w:t>https://mcp.opencaselaw.ch/entscheid/be_zivilstraf_BK_2022_369</w:t>
      </w:r>
    </w:p>
    <w:p>
      <w:r>
        <w:t>FR: BE_ZIVILSTRAF BK 2022 369 du 1 septembre 2022</w:t>
      </w:r>
    </w:p>
    <w:p>
      <w:r>
        <w:t>IT: BE_ZIVILSTRAF BK 2022 369 del 1 settembre 2022</w:t>
      </w:r>
    </w:p>
    <w:p>
      <w:pPr>
        <w:pStyle w:val="Heading2"/>
      </w:pPr>
      <w:r>
        <w:t>Regeste</w:t>
      </w:r>
    </w:p>
    <w:p>
      <w:r>
        <w:t>Verlängerung Untersuchungshaft; Kollusions-und Fluchtgefahr | ZMG Haft (393-c)</w:t>
      </w:r>
    </w:p>
    <w:p>
      <w:pPr>
        <w:pStyle w:val="Heading2"/>
      </w:pPr>
      <w:r>
        <w:t>Erwägungen</w:t>
      </w:r>
    </w:p>
    <w:p>
      <w:r>
        <w:rPr>
          <w:b/>
        </w:rPr>
        <w:t>E. 1</w:t>
      </w:r>
    </w:p>
    <w:p>
      <w:r>
        <w:t>Die Regionale Staatsanwaltschaft Berner Jura-Seeland (nachfolgend: Staatsan- waltschaft) führt gegen den Beschuldigten ein Strafverfahren wegen qualifizierter Widerhandlungen gegen das Betäubungsmittelgesetz. Das Regionale Zwangs- massnahmengericht Berner Jura-Seeland (nachfolgend: Zwangsmassnahmenge- richt) ordnete am 3. Juni 2022 die Untersuchungshaft gegen den Beschuldigten an und verlängerte diese mit Entscheid vom 1. September 2022 bis zum 30. Novem- ber 2022. Gegen diese Verlängerung reichte der Beschuldigte (nachfolgend: Be- schwerdeführer), amtlich vertreten durch Rechtsanwalt B.________, am 7. Sep- tember 2022 Beschwerde bei der Beschwerdekammer in Strafsachen des Oberge- richts des Kantons Bern (nachfolgend: Beschwerdekammer) ein mit den folgenden Anträgen: «1. Der angefochtene Entscheid des regionalen Zwangsmassnahmengerichts Berner Jura- Seeland, a.o. Gerichtspräsident D.________, vom 01. September 2022 im Verfahren ARR 22 324 sei aufzuheben und der Beschuldigte / Beschwerdeführer (nachfolgend: Beschwerde- führer) mit sofortiger Wirkung aus der Untersuchungshaft zu entlassen.</w:t>
      </w:r>
    </w:p>
    <w:p>
      <w:r>
        <w:rPr>
          <w:b/>
        </w:rPr>
        <w:t>E. 2</w:t>
      </w:r>
    </w:p>
    <w:p>
      <w:r>
        <w:t>Eventualiter: Der angefochtene Entscheid des regionalen Zwangsmassnahmengerichts Berner Jura- Seeland, a.o. Gerichtspräsident D.________, vom 01. September 2022 im Verfahren ARR 22 324 sei aufzuheben und es seien unter unverzüglicher Freilassung des Beschwerdefüh- rers die folgenden Ersatzmassnahmen anzuordnen - Ausweis- und Schriftensperre kombiniert mit einer Meldepflicht (tägliche Meldung bei den Behörden) sowie - eine mittels Electronic Monitoring zu überwachende Auflage zu Lasten des Beschwerde- führers, wonach dieser eine zu bestimmende Fläche nicht verlassen darf (Eingrenzung «Hausarrest»).</w:t>
      </w:r>
    </w:p>
    <w:p>
      <w:r>
        <w:rPr>
          <w:b/>
        </w:rPr>
        <w:t>E. 3</w:t>
      </w:r>
    </w:p>
    <w:p>
      <w:r>
        <w:t>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einge- 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(zum Ganzen: BGE 143 IV 330 E. 2.1). 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w:t>
      </w:r>
    </w:p>
    <w:p>
      <w:r>
        <w:rPr>
          <w:b/>
        </w:rPr>
        <w:t>E. 3.2</w:t>
      </w:r>
    </w:p>
    <w:p>
      <w:r>
        <w:t>Betreffend Sachverhalt und Vorwürfe kann auf den Hafteröffnungsantrag der Staatsanwaltschaft vom 1. Juni 2022 sowie den Entscheid des Zwangsmassnah- mengerichts vom 3. Juni 2022 verwiesen werden. Anlässlich einer Zollkontrolle wurde ein Paket mit 4891 Thaipillen, adressiert an E.________ (nachfolgend: Aus- kunftsperson), sichergestellt. Die Auskunftsperson gab zusammengefasst an, seit mehreren Jahren drogenabhängig zu sein und dem Beschwerdeführer ihre Adres- se für die Lieferung dieses Pakets angegeben zu haben. Weiter gab die Auskunfts-</w:t>
      </w:r>
    </w:p>
    <w:p>
      <w:r>
        <w:rPr>
          <w:b/>
        </w:rPr>
        <w:t>E. 4</w:t>
      </w:r>
    </w:p>
    <w:p>
      <w:r>
        <w:t>person an, sie beziehe teilweise ihre Drogen, insbesondere Crystal, vom Be- schwerdeführer. Aufgrund dieser Verdachtslage und der Belastungen gegen den Beschwerdeführer wurde bei diesem eine Hausdurchsuchung durchgeführt, anläss- lich derer in diversen Verstecken rund 450 Gramm Crystal und 2.5 dl GHB sicher- gestellt wurden. Bei seiner Anhaltung trug der Beschwerdeführer weitere 170 Gramm Crystal und rund 2.5 dl GHB auf sich. Der Beschwerdeführer ist geständig, dass die aufgefundenen und sichergestellten Drogen ihm gehören und er auch schon Drogen konsumiert hat (vgl. delegierte Einvernahme vom 31. Mai 2022, Z. 145 f., Z. 219 f.). Er bestreitet einzig, selber mit diesen Drogen zu handeln (vgl. de- legierte Einvernahme vom 31. Mai 2022, Z. 145 f., Z. 237 f.). Die glaubhaften Aus- sagen der Auskunftsperson, welche den Beschwerdeführer auf Fotos wiederer- kannt hat und ihn recht detailliert beschreiben konnte, sowie die bisherigen Ermitt- lungsergebnisse (sichergestellte Drogenmenge von insgesamt 620 Gramm Crystal) weisen aber auf einen Drogenhandel und nicht nur auf Eigenkonsum hin. Es kann auch auf die Ausführungen in der Stellungnahme der Staatsanwaltschaft vom 13. September 2022 verwiesen werden. Es ist unrealistisch, dass sich der arbeits- und mittellose Beschwerdeführer, der sich eigentlich beim Sozialdienst hätte an- melden wollen (vgl. delegierte Einvernahme vom 31. Mai 2022, Z. 145 f.), einen Vorrat für den Eigenkonsum in dieser Menge und diesem Wert angelegt hat. Selbst wenn man von den unrealistischen Angaben des Beschwerdeführers ausgeht, wo- nach er das Crystal für CHF 10.00 pro Gramm beziehen konnte (entgegen dem Gassenpreis von CHF 200.000 bis CHF 300.00), handelt es sich um einen Betrag von knapp CHF 7'000.00, den er hätte aufbringen müssen; es ist weder nachvoll- ziehbar noch wird es begründet, inwiefern der Beschwerdeführer in der Lage ge- wesen sein sollte, für einen solchen Betrag für den blossen Eigenkonsum aufzu- kommen. Auch die insgesamt sieben sichergestellten Mobiltelefone sind Hinweise auf einen professionellen Drogenhandel. Der Umstand, dass mit Ausnahme der Auskunftsperson (noch) keine weiteren Abnehmer identifiziert werden konnten, schliesst den Drogenhandel nicht aus. Es kann auf die Ausführungen zur Kollusi- onsgefahr verwiesen werden. Der dringende Tatverdacht auf qualifizierte Widerhandlungen gegen das Betäu- bungsmittelgesetz liegt vor.</w:t>
      </w:r>
    </w:p>
    <w:p>
      <w:r>
        <w:rPr>
          <w:b/>
        </w:rPr>
        <w:t>E. 4.1</w:t>
      </w:r>
    </w:p>
    <w:p>
      <w:r>
        <w:t>Neben dem dringenden Tatverdacht setzt die Untersuchungshaft einen besonderen Haftgrund im Sinn von Art. 221 Abs. 1 Bst. a-c StPO voraus. Das Zwangsmass- nahmengericht begründet die Rechtmässigkeit der Untersuchungshaft zunächst mit Kollusionsgefahr. 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w:t>
      </w:r>
    </w:p>
    <w:p>
      <w:r>
        <w:rPr>
          <w:b/>
        </w:rPr>
        <w:t>E. 4.2</w:t>
      </w:r>
    </w:p>
    <w:p>
      <w:r>
        <w:t>Der Beschwerdeführer bestreitet die Kollusionsgefahr. Es gebe keine Anhaltspunk- te zu angeblichen weiteren Abnehmern. Es sei eine vage Vermutung, dass sich aus der Auswertung der Mobiltelefone weitere belastende Erkenntnisse ergeben könnten. Konkrete Objekte und/oder Subjekte, auf welche er einwirken könnte, sei- en nicht ersichtlich. Diesen Ausführungen des Beschwerdeführers kann nicht gefolgt werden. Es be- steht der dringende Tatverdacht, dass der Beschwerdeführer auch mit den Drogen gehandelt hat. Es kann auf die Ausführungen zum dringenden Tatverdacht verwie- sen werden. Die Ermittlungsergebnisse weisen auf einen grösseren Handel und weitere Abnehmer hin. Zwar trifft es zu, dass die Strafverfolgungsbehörden bisher keine weiteren konkreten Personen nannten, mit denen der Beschwerdeführer kol- ludieren könnte. Da der Beschwerdeführer in seinen Einvernahmen den Namen seines Lieferanten nicht genannt und ebenso die Bekanntgabe seines PIN-Codes verweigert hat, ist es zum gegenwärtigen Zeitpunkt nachvollziehbar, dass die Staatsanwaltschaft (noch) keine weiteren konkreten Namen nennen kann und auch die Ermittlungen aufwändiger werden. Erst die Auswertung der Mobiltelefone wird weiteren Aufschluss geben. Die Strafverfolgungsbehörden müssen die Möglichkeit haben, allfällige weitere Mittäter bzw. Abnehmer oder Lieferanten aufzuspüren, oh- ne dass der Beschwerdeführer diese warnen oder sich mit ihnen absprechen kann (vgl. Urteil 1B_334/2010 vom 29. Oktober 2010 E. 3.2). Es ist der Staatsanwalt- schaft daher die nötige Zeit einzuräumen, ihre Ermittlungsansätze verfolgen zu können (Urteil des Bundesgerichts 1B_380/2019 vom 21. August 2019 E. 3.4). Der Beschwerdeführer ist nicht geständig und weigert sich zu kooperieren. Bei seiner Freilassung bestünde die Gefahr, dass er sich mit Lieferanten und Abnehmern in Verbindung setzen würde, um sich mit ihnen abzusprechen und sie zu für ihn mög- lichst günstigen Aussagen zu veranlassen. Dies ist umso mehr zu befürchten, als derartige Beeinflussungsversuche nach der Rechtsprechung bei dringendem Ver- dacht auf umfangreichen Drogenhandel wie hier gerichtsnotorisch häufig sind (Ur- teil des Bundesgerichts 1B_164/2020 vom 29. April 2020 E. 2.3). In Anbetracht der Schwere und Eigenart der untersuchten Straftat sowie des Umstands, dass der Sachverhalt noch nicht präzis abgeklärt werden konnte, ist es jedenfalls gerechtfer- tigt, künftige Einvernahmen und gegebenenfalls Konfrontationen durchzuführen,</w:t>
      </w:r>
    </w:p>
    <w:p>
      <w:r>
        <w:rPr>
          <w:b/>
        </w:rPr>
        <w:t>E. 5</w:t>
      </w:r>
    </w:p>
    <w:p>
      <w:r>
        <w:t>Umstände des jeweiligen Einzelfalls zu prüfen. Konkrete Anhaltspunkte für Kollusi- onsgefahr können sich namentlich ergeben aus dem bisherigen Verhalten der be- schuldigten Person im Strafprozess, aus ihren persönlichen Merkmalen, aus ihrer 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weiter das Strafverfahren fortgeschritten ist und je präziser der Sachverhalt bereits abge- klärt werden konnte, desto höhere Anforderungen sind an den Nachweis von Ver- dunkelungsgefahr zu stellen (BGE 137 IV 122 E. 4.2 und 132 I 21 E. 3.2, je mit Hinweisen; Urteile des Bundesgerichts 1B_558/2021 vom 3. November 2021 E. 3.2 und 1B_196/2021 vom 11. Mai 2021 E. 3.2, je mit Hinweisen).</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Ein gewichtiges Indiz für Fluchtgefahr stellen auch unklare Wohn- und Arbeitsverhältnisse dar (FREI/ZUBERBÜHLER ELSÄSSER, in: Kommentar zur Schweizerischen Strafprozess- ordnung, 3. Aufl. 2020, N. 17 zu Art. 221 StPO). Selbst bei einer befürchteten Rei- se in ein Land, welches die beschuldigte Person grundsätzlich an die Schweiz aus- 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des Schweizerischen Strafgesetzbuchs [StGB; SR 311.0]), kontinuierlich verrin- gert (zum Ganzen: BGE 145 IV 503 E. 2.2 und 143 IV 160 E. 4.3, je mit Hinweisen; ferner Urteil des Bundesgerichts 1B_476/2021 vom 23. September 2021 E. 3.1).</w:t>
      </w:r>
    </w:p>
    <w:p>
      <w:r>
        <w:rPr>
          <w:b/>
        </w:rPr>
        <w:t>E. 5.2</w:t>
      </w:r>
    </w:p>
    <w:p>
      <w:r>
        <w:t>Dem Beschwerdeführer droht im Fall einer rechtskräftigen Verurteilung eine emp- findliche mehrjährige Sanktion. Dies ist zwar ein gewichtiges Indiz für eine Flucht- gefahr, vermag für sich allein eine solche aber noch nicht zu begründen. Die Fluchtgefahr stützt sich auch nicht einzig auf die Sanktion, sondern es bestehen weitere konkrete Anhaltspunkte für deren Vorliegen. Der Beschwerdeführer ist ar- beitslos und verfügt über kein Einkommen, sondern lebt von seiner Freundin (vgl.</w:t>
      </w:r>
    </w:p>
    <w:p>
      <w:r>
        <w:rPr>
          <w:b/>
        </w:rPr>
        <w:t>E. 6</w:t>
      </w:r>
    </w:p>
    <w:p>
      <w:r>
        <w:t>ohne dass der Beschwerdeführer die Möglichkeit hat, sich mit den fraglichen Per- sonen abzusprechen oder ihre Aussagen zu beeinflussen. Zudem droht dem Be- schwerdeführer eine empfindliche Freiheitsstrafe, weshalb auch ein hoher Kollusi- onsanreiz besteht. Bei dieser Ausgangslage hat das Zwangsmassnahmengericht die Kollusionsgefahr zu Recht bejaht. 5.</w:t>
      </w:r>
    </w:p>
    <w:p>
      <w:r>
        <w:rPr>
          <w:b/>
        </w:rPr>
        <w:t>E. 6.1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6.2</w:t>
      </w:r>
    </w:p>
    <w:p>
      <w:r>
        <w:t>Der Beschwerdeführer befindet sich seit dem 31. Mai 2022 in Untersuchungshaft. Angesichts des im Raum stehenden Vorwurfs der qualifizierten Widerhandlungen gegen das Betäubungsmittelgesetz, welcher gemäss Art. 19 Ziff. 2 des Betäu- bungsmittelgesetzes (BetmG; SR 812.121) im Verurteilungsfall mit einer Freiheits- strafe von nicht unter einem Jahr bestraft wird, droht mit der Verlängerung der Un- tersuchungshaft um eine Dauer von drei Monaten noch keine Überhaft. Nach Ab- lauf dieser Verlängerung wird die Haftdauer sechs Monate betragen. Die Verlängerung der Untersuchungshaft von drei Monaten erscheint zudem auch angesichts der noch anstehenden Ermittlungshandlungen (Auswertung der sicher- gestellten Mobiltelefone resp. die sich daraus ergebenden Ermittlungshandlungen) als verhältnismässig.</w:t>
      </w:r>
    </w:p>
    <w:p>
      <w:r>
        <w:rPr>
          <w:b/>
        </w:rPr>
        <w:t>E. 6.3</w:t>
      </w:r>
    </w:p>
    <w:p>
      <w:r>
        <w:t>Auch für die Beschwerdekammer sind keine milderen Ersatzmassnahmen nach Art. 237 StPO erkennbar, welche sowohl die Kollusions- als auch die Fluchtgefahr hinreichend zu bannen vermöchten. Entgegen der Vorbringen des Beschwerdefüh- rers sind Auflagen zum Aufenthaltsort in der Form der Eingrenzung («Hausarrest») nicht geeignet, die Kollusionsgefahr wirksam zu bannen. Auch wenn der Be- schwerdeführer aktuell über kein Mobiltelefon mehr verfügen sollte, können die Strafverfolgungsbehörden den Zugriff des Beschwerdeführers auf ein neues oder anderes Mobiltelefon nicht verhindern oder kontrollieren. Zudem ist das Mobiltele- fon nicht die einzige Kommunikationsmöglichkeit. Beeinflussungsversuche lassen sich daher durch einen Hausarrest nicht wirksam verhindern. Zudem sind auch kei- ne anderen Ersatzmassnahmen ersichtlich. Da solche allein schon mit Blick auf die Kollusionsgefahr zu verneinen sind, kann auf eine Erörterung der betreffend Fluchtgefahr anerbotenen Ersatzmassnahmen verzichtet werden. 7. Bei diesem Ausgang des Beschwerdeverfahrens sind die Verfahrenskosten dem Beschwerdeführer aufzuerlegen (Art. 428 Abs. 1 StPO). Die Staatsanwaltschaft oder das urteilende Gericht legen die Entschädigung des amtlichen Verteidigers für seine Aufwendungen im Beschwerdeverfahren am Ende des Verfahrens fest (Art. 135 Abs. 2 StPO).</w:t>
      </w:r>
    </w:p>
    <w:p>
      <w:r>
        <w:rPr>
          <w:b/>
        </w:rPr>
        <w:t>E. 7</w:t>
      </w:r>
    </w:p>
    <w:p>
      <w:r>
        <w:t>delegierte Einvernahme vom 31. Mai 2022, Z. 41 f., 97 ff, 106 ff.). Es ist von einer instabilen Lebenssituation auszugehen. Eine stabile soziale Vernetzung, auf wel- che er im Fall einer Haftentlassung zählen und welche ihn stützen könnte, ist nicht erkennbar. Der Umstand, dass sein Vater ihn im Gefängnis besucht, wirkt sich nicht fluchtminimierend aus. Abgesehen davon, dass «Besuche» nicht von vorn- herein gefestigte soziale Kontakten begründen, ist fraglich, ob die (angeblich neu entdeckte) Beziehung zu seinem Vater genügend Gewähr bieten könnte, dass sich der Beschwerdeführer im Fall einer Haftentlassung den Strafverfolgungsbehörden zur Verfügung halten würde. Auch scheint es unrealistisch, dass der Beschwerde- führer einen Job in der F.________ in Aussicht hat. Dies ist auch nicht objektiviert und scheint in Anbetracht seiner Situation nicht realistisch. Es kann auch auf die Ausführungen der Staatsanwaltschaft in ihrer Stellungnahme vom 13. September 2022 verwiesen werden. Der Beschwerdeführer hat bereits mehrere Jahre in Asien gelebt (2015 bis 2020), in Laos gearbeitet und angegeben, sein Ziel sei es, wieder nach Asien zu gehen und dort zu leben. Seine Freundin habe dort etwas geerbt und habe ein Haus. Zudem sagte er auch aus, in Asien Leute zu kennen (delegier- ten Einvernahme vom 31. Mai 2022Z. 44 ff., Z. 103 f., Z. 246 bis 263). In Überein- stimmung mit der Staatsanwaltschaft in ihrer Stellungnahme vom 13. September 2022 erwecken die anlässlich der Einvernahme vom 2. September 2022 gestellte suggestive Frage der Rechtsvertretung («Herr A.________ gab an, dass wenn er rauskäme, er einen Job suchen möchte in G.________ (Ort). Somit ist das Ziel in der Schweiz zu bleiben. Ist das korrekt?» Z. 193 f.) und die Antwort des Beschwer- deführers (Z. 195-203) den Anschein eines zurecht gelegten Sachverhalts, um Ar- gumente gegen das Vorliegen einer Fluchtgefahr zu konstruieren, ohne dass sich diese Argumente konkretisieren oder objektivieren lassen. Mit Blick auf die fami- liären und sozialen Bindungen, die berufliche Situation sowie die Kontakte des Be- schwerdeführers nach Asien hat das Zwangsmassnahmengericht die Fluchtgefahr zu Recht bejaht. 6.</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