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2022 322 vom 18. Januar 2023</w:t>
      </w:r>
    </w:p>
    <w:p>
      <w:r>
        <w:t>BE Obergericht, 2023-01-18, DE</w:t>
      </w:r>
    </w:p>
    <w:p>
      <w:r>
        <w:rPr>
          <w:b/>
        </w:rPr>
        <w:t xml:space="preserve">Quelle: </w:t>
      </w:r>
      <w:r>
        <w:t>https://mcp.opencaselaw.ch/entscheid/be_zivilstraf_BK_2022_322</w:t>
      </w:r>
    </w:p>
    <w:p>
      <w:r>
        <w:t>FR: BE_ZIVILSTRAF BK 2022 322 du 18 janvier 2023</w:t>
      </w:r>
    </w:p>
    <w:p>
      <w:r>
        <w:t>IT: BE_ZIVILSTRAF BK 2022 322 del 18 gennaio 2023</w:t>
      </w:r>
    </w:p>
    <w:p>
      <w:pPr>
        <w:pStyle w:val="Heading2"/>
      </w:pPr>
      <w:r>
        <w:t>Regeste</w:t>
      </w:r>
    </w:p>
    <w:p>
      <w:r>
        <w:t>Einstellung; fahrlässiges Verursachen einer Feuersbrunst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Am 12. Juli 2022 stellte die Regionale Staatsanwaltschaft Oberland (nachfolgend: Staatsanwaltschaft) das Strafverfahren gegen unbekannte Täterschaft wegen fahr- lässigen Verursachens einer Feuersbrunst ein. Dagegen erhoben B.________ (nachfolgend: Beschwerdeführer 1) und D.________ (nachfolgend: Beschwerde- führerin 2; zusammen: die Beschwerdeführenden), beide vertreten durch Fürspre- cher und Notar C.________, am 26. Juli 2022 Beschwerde bei der Beschwerde- kammer in Strafsachen des Obergerichts des Kantons Bern (nachfolgend: Be- schwerdekammer) und beantragten: Die Einstellungsverfügung O 21 6920 der Staatsanwaltschaft des Kantons Bern, Region Oberland vom 12.07.2022 sei aufzuheben, und die Staatsanwaltschaft sei anzuweisen, das Strafverfahren wie- der aufzunehmen und den tatsächlichen Sachverhalt näher abzuklären (insbesondere im Sinne der mit Eingabe an die Staatsanwaltschaft vom 10.05.2022 gestellten Beweisanträge); unter Kosten- und Entschädigungsfolgen.</w:t>
      </w:r>
    </w:p>
    <w:p>
      <w:r>
        <w:rPr>
          <w:b/>
        </w:rPr>
        <w:t>E. 1.2</w:t>
      </w:r>
    </w:p>
    <w:p>
      <w:r>
        <w:t>Mit Verfügung vom 2. August 2022 eröffnete die Verfahrensleitung i.V. das Be- schwerdeverfahren und gab der Generalstaatsanwaltschaft Gelegenheit zur Stel- lungnahme. Letztere beantragte mit Eingabe vom 24. August 2022 die kostenfällige Abweisung der Beschwerde.</w:t>
      </w:r>
    </w:p>
    <w:p>
      <w:r>
        <w:rPr>
          <w:b/>
        </w:rPr>
        <w:t>E. 1.3</w:t>
      </w:r>
    </w:p>
    <w:p>
      <w:r>
        <w:t>Mit Verfügung vom 25. August 2022 nahm und gab die Verfahrensleitung i.V. von der Stellungnahme der Staatsanwaltschaft Kenntnis. Zudem teilte sie mit, dass auf einen zweiten Schriftenwechsel verzichtet werde.</w:t>
      </w:r>
    </w:p>
    <w:p>
      <w:r>
        <w:rPr>
          <w:b/>
        </w:rPr>
        <w:t>E. 2</w:t>
      </w:r>
    </w:p>
    <w:p>
      <w:r>
        <w:t>Gegen Verfügungen der Staatsanwaltschaft kann bei der Beschwerdekammer in Strafsachen innert zehn Tagen schriftlich und begründet Beschwerde geführt wer- den (Art. 322 Abs. 2, 393 Abs. 1 Bst. a i.V.m. Art. 396 Abs. 1 der Strafprozessord- nung [StPO; SR 312], Art. 35 des Gesetzes über die Organisation der Gerichts- behörden und der Staatsanwaltschaft [GSOG; BSG 161.1] i.V.m. Art. 29 Abs. 2 des Organisationsreglements des Obergerichts [OrR OG; BSG 162.11]). Die Be- schwerdeführenden sind durch die angefochtene Verfügung unmittelbar in ihren rechtlich geschützten Interessen betroffen und somit zur Beschwerdeführung legi- timiert (Art. 382 Abs. 1 StPO). Auf die form- und fristgerechte Beschwerde ist ein- zutreten.</w:t>
      </w:r>
    </w:p>
    <w:p>
      <w:r>
        <w:rPr>
          <w:b/>
        </w:rPr>
        <w:t>E. 3</w:t>
      </w:r>
    </w:p>
    <w:p>
      <w:r>
        <w:t>Wie der angefochtenen Verfügung entnommen werden kann, kam es in der Nacht vom 1. Juli 2021 im Dorfzentrum in I.________ (Ort) zu einem Grossbrand, bei dem ein Wohn- und Geschäftsgebäude, ein Mehrfamilienhaus sowie der dazu- gehörige Ökonomieteil komplett ausbrannten. Ein weiteres Gebäude wurde massiv beschädigt. Die Staatsanwaltschaft eröffnete daraufhin eine Untersuchung wegen fahrlässiger Verursachung einer Feuersbrunst gegen unbekannte Täterschaft (vgl. Eröffnungsverfügung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