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271 vom 27. Mai 2022</w:t>
      </w:r>
    </w:p>
    <w:p>
      <w:r>
        <w:t>BE Obergericht, 2022-05-27, DE</w:t>
      </w:r>
    </w:p>
    <w:p>
      <w:r>
        <w:rPr>
          <w:b/>
        </w:rPr>
        <w:t xml:space="preserve">Quelle: </w:t>
      </w:r>
      <w:r>
        <w:t>https://mcp.opencaselaw.ch/entscheid/be_zivilstraf_BK_2022_271</w:t>
      </w:r>
    </w:p>
    <w:p>
      <w:r>
        <w:t>FR: BE_ZIVILSTRAF BK 2022 271 du 27 mai 2022</w:t>
      </w:r>
    </w:p>
    <w:p>
      <w:r>
        <w:t>IT: BE_ZIVILSTRAF BK 2022 271 del 27 maggio 2022</w:t>
      </w:r>
    </w:p>
    <w:p>
      <w:pPr>
        <w:pStyle w:val="Heading2"/>
      </w:pPr>
      <w:r>
        <w:t>Regeste</w:t>
      </w:r>
    </w:p>
    <w:p>
      <w:r>
        <w:t>Gültigkeit der Einsprache; Hausfriedensbruch | Andere Verfügungen Gericht (393-b)</w:t>
      </w:r>
    </w:p>
    <w:p>
      <w:pPr>
        <w:pStyle w:val="Heading2"/>
      </w:pPr>
      <w:r>
        <w:t>Erwägungen</w:t>
      </w:r>
    </w:p>
    <w:p>
      <w:r>
        <w:rPr>
          <w:b/>
        </w:rPr>
        <w:t>E. 1</w:t>
      </w:r>
    </w:p>
    <w:p>
      <w:r>
        <w:t>Mit Entscheid vom 27. Mai 2022 stellte das Regionalgericht Oberland (nachfolgend: Regionalgericht) fest, dass die Einsprache des Beschuldigten gegen den Strafbe- fehl vom 25. Januar 2022 verspätet eingereicht worden und demnach ungültig ist. Es trat auf die Einsprache gegen den Strafbefehl nicht ein und hielt fest, dass die- ser in Rechtskraft erwachsen sei. Am 3. Juni 2022 leitete das Regionalgericht der Beschwerdekammer in Strafsachen des Obergerichts des Kantons Bern (nachfol- gend: Beschwerdekammer) eine Eingabe des Beschuldigten weiter. Diese bestand in einer Bemerkung «Bezahle ich nicht! Viel zu hoch», welche auf dem Entscheid des Regionalgerichts vom 27. Mai 2022 angebracht war. Mit Schreiben vom 7. Juni 2022 teilte der Verfahrensleiter der Beschwerdekammer dem Beschuldigten mit, dass unklar sei, ob er eine Beschwerde erheben wolle, und wies ihn daraufhin, dass ausschliesslich der Entscheid des Regionalgerichts das Anfechtungsobjekt im Beschwerdeverfahren bilde. Es sei daher einzig zu prüfen, ob seine Einsprache verspätet erfolgt sei. Der Beschuldigte wurde aufgefordert, innert einer Frist von fünf Tagen ab Zustellung des Schreibens mitzuteilen, ob seine Eingabe als Be- schwerde zu behandeln sei und falls ja, eine rechtsgenügliche Begründung nach- zuliefern. Der Beschuldigte (nachfolgend: Beschwerdeführer) reichte am 8. Juni 2022 «Einsprache» ein. Mit Blick auf das Nachfolgende wurde auf die Einholung einer Stellungnahme resp. die Durchführung eines Schriftenwechsels verzichtet (Art. 390 Abs. 2 der Schwei- 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den angefochtenen Entscheid des Regionalgerichts unmittelbar in seinen rechtlich geschützten Interessen betroffen und somit zur Beschwerdeführung legitimiert (Art. 382 Abs. 1 StPO). Er hat innert Frist Beschwerde erhoben. Mit Eingabe vom 8. Juni 2022 hat er zudem vor Ablauf der gewährten Nachfrist gemäss Art. 385 Abs. 2 StPO seine erste Eingabe verbessert und seinen Beschwerdewillen bekun- det. Die Nachbesserung genügt den Begründungsanforderungen von Art. 385 Abs. 1 StPO. Auf die frist- und – als Laieneingabe – formgerecht eingereichte Be- schwerde ist einzutreten.</w:t>
      </w:r>
    </w:p>
    <w:p>
      <w:r>
        <w:rPr>
          <w:b/>
        </w:rPr>
        <w:t>E. 3</w:t>
      </w:r>
    </w:p>
    <w:p>
      <w:r>
        <w:t>Der Grund für das Fristversäumnis wird in diesem Verfahren nicht geprüft. Soweit der Beschwerdeführer im vorliegenden Beschwerdeverfahren daher Wiederherstel- lungsgründe geltend macht («Die Einsprache kam zu spät, weil ich immer blau war – Alki = unzurechnungsfähig»), ist er folglich nicht zu hören. Ebenfalls können kei- ne materiellen Einwände (Höhe des Strafmasses) gegen den Strafbefehl vorge- bracht werden.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