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2022 231 vom 23. Dezember 2022</w:t>
      </w:r>
    </w:p>
    <w:p>
      <w:r>
        <w:t>BE Obergericht, 2022-12-23, DE</w:t>
      </w:r>
    </w:p>
    <w:p>
      <w:r>
        <w:rPr>
          <w:b/>
        </w:rPr>
        <w:t xml:space="preserve">Quelle: </w:t>
      </w:r>
      <w:r>
        <w:t>https://mcp.opencaselaw.ch/entscheid/be_zivilstraf_BK_2022_231</w:t>
      </w:r>
    </w:p>
    <w:p>
      <w:r>
        <w:t>FR: BE_ZIVILSTRAF BK 2022 231 du 23 décembre 2022</w:t>
      </w:r>
    </w:p>
    <w:p>
      <w:r>
        <w:t>IT: BE_ZIVILSTRAF BK 2022 231 del 23 dicembre 2022</w:t>
      </w:r>
    </w:p>
    <w:p>
      <w:pPr>
        <w:pStyle w:val="Heading2"/>
      </w:pPr>
      <w:r>
        <w:t>Regeste</w:t>
      </w:r>
    </w:p>
    <w:p>
      <w:r>
        <w:t>Änderung der Sanktion gemäss Art. 65 Abs. 1 StGB | Straf- und Massnahmenvollzug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Prozessgeschichte</w:t>
      </w:r>
    </w:p>
    <w:p>
      <w:r>
        <w:rPr>
          <w:b/>
        </w:rPr>
        <w:t>E. 1.1</w:t>
      </w:r>
    </w:p>
    <w:p>
      <w:r>
        <w:t>Mit Urteil des Regionalgerichts Bern-Mittelland (nachfolgend: Regionalgericht/Vorin- stanz) vom 1. Dezember 2020 wurde A.________ (nachfolgend: Verurteilter/Be- schwerdeführer) im abgekürzten Verfahren (PEN 20 594) wegen versuchter schwe- rer Körperverletzung und Widerhandlungen gegen das Personenbeförderungsge- setz zu einer teilbedingten Freiheitsstrafe von 24 Monaten und einer Busse von CHF 1’000.00 verurteilt. Für die Teilstrafe von 14 Monaten wurde der Vollzug aufge- schoben und eine Probezeit von 5 Jahren festgelegt (Akten PEN 20 594, pag. 390 ff.). Unter Einbezug der weiteren gegenüber dem Beschwerdeführer angeordneten Er- satzfreiheitsstrafen wurde als Vollzugsende der 29. Mai 2022 berechnet (Vollzugs- akten, pag. 729 [Rückseite nicht paginiert]).</w:t>
      </w:r>
    </w:p>
    <w:p>
      <w:r>
        <w:rPr>
          <w:b/>
        </w:rPr>
        <w:t>E. 1.2</w:t>
      </w:r>
    </w:p>
    <w:p>
      <w:r>
        <w:t>Am 9. Dezember 2021 stellten die BVD beim Regionalgericht den Antrag, es sei an- stelle der mit Urteil vom 1. Dezember 2020 ausgesprochenen teilbedingten Frei- heitsstrafe von 24 Monaten nachträglich und in Anwendung von Art. 65 Abs. 1 des Schweizerischen Strafgesetzbuchs (StGB; SR 311) eine stationäre therapeutische Massnahme nach Art. 59 StGB anzuordnen. Weiter wurde beantragt, es sei durch das zuständige Gericht bei Erreichen des Strafendes am 17. Mai 2022 (recte: 29. Mai 2022) beim zuständigen Zwangsmassnahmengericht Sicherheitshaft zu be- antragen und deren Ausgestaltung den Bewährungs- und Vollzugsdiensten zu über- tragen (Akten PEN 21 1278, pag. 1 ff.).</w:t>
      </w:r>
    </w:p>
    <w:p>
      <w:r>
        <w:rPr>
          <w:b/>
        </w:rPr>
        <w:t>E. 1.3</w:t>
      </w:r>
    </w:p>
    <w:p>
      <w:r>
        <w:t>Mit Entscheid vom 3. Mai 2022 ordnete das Regionalgericht anstelle der mit Urteil vom 1. Dezember 2020 ausgesprochenen Freiheitstrafe eine stationäre Massnahme an (a.a.O., pag. 172 ff.).</w:t>
      </w:r>
    </w:p>
    <w:p>
      <w:r>
        <w:rPr>
          <w:b/>
        </w:rPr>
        <w:t>E. 1.4</w:t>
      </w:r>
    </w:p>
    <w:p>
      <w:r>
        <w:t>Gegen den Entscheid des Regionalgerichts vom 3. Mai 2022 erhob der Beschwer- deführer, amtlich vertreten durch Rechtsanwältin B.________ (a.a.O., pag. 571 ff.), am 16. Mai 2022 Beschwerde und beantragte (Akten BK 22 231, pag. 1 ff.):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