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323 vom 27. Juli 2021</w:t>
      </w:r>
    </w:p>
    <w:p>
      <w:r>
        <w:t>BE Obergericht, 2021-07-27, DE</w:t>
      </w:r>
    </w:p>
    <w:p>
      <w:r>
        <w:rPr>
          <w:b/>
        </w:rPr>
        <w:t xml:space="preserve">Quelle: </w:t>
      </w:r>
      <w:r>
        <w:t>https://mcp.opencaselaw.ch/entscheid/be_zivilstraf_BK_2021_323</w:t>
      </w:r>
    </w:p>
    <w:p>
      <w:r>
        <w:t>FR: BE_ZIVILSTRAF BK 2021 323 du 27 juillet 2021</w:t>
      </w:r>
    </w:p>
    <w:p>
      <w:r>
        <w:t>IT: BE_ZIVILSTRAF BK 2021 323 del 27 luglio 2021</w:t>
      </w:r>
    </w:p>
    <w:p>
      <w:pPr>
        <w:pStyle w:val="Heading2"/>
      </w:pPr>
      <w:r>
        <w:t>Regeste</w:t>
      </w:r>
    </w:p>
    <w:p>
      <w:r>
        <w:t>Verlängerung Sicherheitshaft | ZMG Haft (393-c)</w:t>
      </w:r>
    </w:p>
    <w:p>
      <w:pPr>
        <w:pStyle w:val="Heading2"/>
      </w:pPr>
      <w:r>
        <w:t>Erwägungen</w:t>
      </w:r>
    </w:p>
    <w:p>
      <w:r>
        <w:rPr>
          <w:b/>
        </w:rPr>
        <w:t>E. 1</w:t>
      </w:r>
    </w:p>
    <w:p>
      <w:r>
        <w:t>A.________ (nachfolgend: Beschwerdeführer) wurde am 15. August 2020 festge- nommen und befindet sich seither in Haft. Er liess die andauernde (Untersuchungs- )Haft bereits zweimal – erfolglos – durch die Beschwerdekammer in Strafsachen des Obergerichts des Kantons Bern (nachfolgend: Beschwerdekammer) überprü- fen (BK 20 340 und BK 20 510). Am 12. Januar 2021 erhob die Regionale Staats- anwaltschaft Berner Jura-Seeland (nachfolgend: Staatsanwaltschaft) beim Regio- nalgericht Berner Jura-Seeland (nachfolgend: Regionalgericht) Anklage gegen den Beschwerdeführer wegen versuchter schwerer Körperverletzung i.S.v. Art. 122 i.V.m. Art. 22 Abs. 1 des Schweizerischen Strafgesetzbuches (StGB; SR 311) und Widerhandlungen gegen das Betäubungsmittelgesetz (Konsum) i.S.v. Art. 19a Zif- fer 1 des Bundesgesetzes über die Betäubungsmittel und die psychotropen Stoffe (BetmG; SR 812.121). Auf Antrag des Regionalgerichts verlängerte das Regionale Zwangsmassnahmengericht Berner Jura-Seeland (nachfolgend: Zwangsmass- nahmengericht) am 6. Juli 2021 die Sicherheitshaft bis am 7. Oktober 2021. Dage- gen erhob der Beschwerdeführer, verteidigt durch Fürsprecher B.________, am 8. Juli 2021 Beschwerde. Das Zwangsmassnahmengericht verzichtete mit Eingabe vom 12. Juli 2021 auf eine Stellungnahme. Die von der Generalstaatsanwaltschaft mit der Wahrnehmung der staatsanwaltschaftlichen Aufgaben betraute Staatsan- wältin C.________ beantragte am 16. Juli 2021 die kostenfällige Abweisung der Beschwerde, soweit diese nicht als gegenstandslos zu beurteilen sei. Die absch- liessenden Bemerkungen des Beschwerdeführers sind am 27. Juli 2021 eingegan- gen.</w:t>
      </w:r>
    </w:p>
    <w:p>
      <w:r>
        <w:rPr>
          <w:b/>
        </w:rPr>
        <w:t>E. 2</w:t>
      </w:r>
    </w:p>
    <w:p>
      <w:r>
        <w:t>Gemäss Art. 222 i.V.m. Art. 393 Abs. 1 Bst. c der Strafprozessordnung (StPO; SR 312) können Entscheide über die Verlängerung der Sicherheitshaft durch die ver- haftete Person mit Beschwerde angefochten werden. Zuständig ist die Beschwer- dekammer in Strafsachen (Art. 35 des Gesetzes über die Organisation der Ge- richtsbehörden und der Staatsanwaltschaft [GSOG; BSG 161.1] i.V.m. Art. 29 Abs. 2 des Organisationsreglements des Obergerichts [OrR OG; BSG 162.11]). Der Beschwerdeführer ist am 15. Juli 2021 in den vorzeitigen Strafvollzug in der Justizvollzugsanstalt Thorberg übergetreten. Staatsanwältin C.________ führt in ih- rer Stellungnahme hierzu aus, dass die Sicherheitshaft damit beendet sei. Die wei- teren Ausführungen in ihrer Stellungnahme würden nur für den Fall gemacht, dass das Vorliegen eines aktuellen praktischen Rechtsschutzinteresses des Beschwer- deführers an der Beurteilung der Beschwerde bejaht werde. Der Beschwerdeführer hält an seinen in der Beschwerdeschrift gestellten Anträgen ausdrücklich fest. Der Argumentation der Staatsanwaltschaft sei entgegenzuhalten, dass sich der vorzei- tige Strafvollzug allein auf den Vollzug der Untersuchungs- und Sicherheitshaft be- ziehe. Rechtstitel für den damit verbundenen Freiheitsentzug sei nicht die zu erwar- tende Freiheitsstrafe oder die Einwilligung des Beschwerdeführers in den vorzeiti- gen Strafantritt, sondern die strafprozessuale Haft – in casu die Sicherheitshaft. Dass der Beschwerdeführer ein Interesse an der Wiedererlangung der Freiheit und damit ein aktuelles praktisches Rechtsschutzinteresse habe, bedürfe keiner weite- ren Ausführungen.</w:t>
      </w:r>
    </w:p>
    <w:p>
      <w:r>
        <w:rPr>
          <w:b/>
        </w:rPr>
        <w:t>E. 3</w:t>
      </w:r>
    </w:p>
    <w:p>
      <w:r>
        <w:t>Fraglich ist deshalb, ob der Beschwerdeführer noch ein aktuelles und praktisches Interesse an der Behandlung seiner Beschwerde hat. Der vorzeitige Vollzug stellt eine Massnahme auf der Schwelle zwischen Strafverfolgung und Strafvollzug dar (BGE 143 IV160 E. 2.1). Er bewegt sich also zwischen der Untersuchungs- und der Sicherheitshaft einerseits und dem Straf- und Massnahmenvollzug andererseits. Verfahrensrechtlich ist vor allem von Bedeutung, dass die beschuldigte Person mit der expliziten Einwilligung zum vorzeiten Straf- oder Massnahmenantritt fortan auf das gesetzlich vorgesehene Haftanordnungs- und -prüfungsverfahren verzichtet, jedoch nach wie vor ein Gesuch um Entlassung stellen kann. Auch die Haftvoraus- setzungen nach Art. 212 Abs. 2 und Art. 221 StPO müssen weiterhin jederzeit er- füllt sein (FREI/ZUBERBÜHLER ELSÄSSER, in: Kommentar zur Schweizerischen Straf- prozessordnung, Donatsch/Lieber/Summers/Wohlers [Hrsg.], 3. Aufl. 2020, N. 4 zu Art. 236 StPO). Ein bereits laufendes Haftverlängerungsverfahren wird bei vorzeiti- gem Strafantritt nur dann gegenstandslos, wenn der Inhaftierte das Interesse an der Überprüfung der Haftvoraussetzungen verloren hat (BGE 137 IV 177 E. 2.2). Ein Verlust des Rechtsschutzinteresses ist damit nicht zwingend, denn primäres Ziel kann immer noch die Entlassung aus der Haft sein. Die beschuldigte Person kann mithin trotz Haftentlassungsgesuchs durchaus ein Interesse daran haben, den vorzeitigen Strafvollzug anzutreten, da für das Vollzugsregime grundsätzlich die Regeln des Strafvollzugs gelten (Art. 236 StPO). Damit ist der Beschwerdeführer vorliegend durch die Verlängerung der Sicher- heitshaft – trotz des am 15. Juli 2021 vorzeitigen Antritts der Strafe – unmittelbar in seinen rechtlich geschützten Interessen betroffen und somit zur Beschwerde- führung legitimiert (Art. 222, Art. 382 Abs. 1 StPO). Auf die form- und fristgerechte Beschwerde ist einzutreten.</w:t>
      </w:r>
    </w:p>
    <w:p>
      <w:r>
        <w:rPr>
          <w:b/>
        </w:rPr>
        <w:t>E. 3.1</w:t>
      </w:r>
    </w:p>
    <w:p>
      <w:r>
        <w:t>Die Sicherheitshaft setzt zunächst voraus, dass im Sinne eines allgemeinen Haft- grundes ein dringender Tatverdacht der Begehung eines Verbrechens oder Verge- hens besteht.</w:t>
      </w:r>
    </w:p>
    <w:p>
      <w:r>
        <w:rPr>
          <w:b/>
        </w:rPr>
        <w:t>E. 3.2</w:t>
      </w:r>
    </w:p>
    <w:p>
      <w:r>
        <w:t>Der dringende Tatverdacht ist nach wie vor gegeben und wird auch nicht bestritten. Es ist unbestritten, dass der Beschwerdeführer in eine tätliche Auseinandersetzung mit D.________ (nachfolgend: Geschädigter) geraten ist und er dem am Boden lie- genden Geschädigten mehrere Fusstritte gegen den Kopf verpasst hat. Gemäss Anklageschrift vom 12. Januar 2021 werden dem Beschwerdeführer folgende Straf- taten zur Last gelegt: Versuchte schwere Köperverletzung, begangen am 15. August 2020, ca. 03:30 Uhr, in Biel, zum Nachteil des Geschädigten, indem der Beschuldigte den Privatkläger zunächst mindestens zweimal mit der rechten und der linken Faust ins Gesicht schlug, woraufhin der Privatkläger zu Boden ging und der Beschuldigte ihm, als er rücklings auf dem Boden lag, mindestens vier Mal mit dem rechten Fuss heftig gegen den Kopf trat. Der Privatkläger erlitt durch die Gewalteinwirkung des Beschuldigten nebst verschiedenen Hautab- schürfungen und Hauteinblutungen im Gesicht, am Ohr und am Hals insbesondere eine Gehirner- schütterung, einen Bruch des Schildknorpels mit Schleimhautunterblutungen und daraus resultieren-</w:t>
      </w:r>
    </w:p>
    <w:p>
      <w:r>
        <w:rPr>
          <w:b/>
        </w:rPr>
        <w:t>E. 3.3</w:t>
      </w:r>
    </w:p>
    <w:p>
      <w:r>
        <w:t>Weitere Ausführungen unter diesem Titel erübrigen sich. Das Zwangsmassnah- mengericht ist zu Recht vom dringenden Tatverdacht ausgegangen.</w:t>
      </w:r>
    </w:p>
    <w:p>
      <w:r>
        <w:rPr>
          <w:b/>
        </w:rPr>
        <w:t>E. 4</w:t>
      </w:r>
    </w:p>
    <w:p>
      <w:r>
        <w:t>der Einengung der Luftwege im Bereich des Kehlkopfes und eine ca. 1 cm lange Hautdurchtrennung an der Stirn links, die mit einer Einzelknopfnaht versorgt werden musste. […] Widerhandlungen gegen das Betäubungsmittelgesetz (Konsum), mehrfach began- gen in den zum Urteilszeitpunkt letzten drei Jahren bis am 15. August 2020 in Biel, indem der Beschuldigte täglich zwei bis drei Joints mit Marihuana rauchte und an den Wochenenden jeweils 1-2 Gramm Kokain konsumierte.</w:t>
      </w:r>
    </w:p>
    <w:p>
      <w:r>
        <w:rPr>
          <w:b/>
        </w:rPr>
        <w:t>E. 4.1</w:t>
      </w:r>
    </w:p>
    <w:p>
      <w:r>
        <w:t>Neben dem dringenden Tatverdacht setzt die Sicherheitshaft einen besonderen Haftgrund im Sinne von Art. 221 Abs. 1 Bst. a-c StPO voraus. Das Zwangsmass- nahmengericht stützt sich auf den Haftgrund der Wiederholungsgefahr. Wiederho- lungsgefahr ist gegeben, wenn ernsthaft zu befürchten ist, dass die beschuldigte Person durch Verbrechen oder schwere Vergehen die Sicherheit anderer erheblich gefährdet, nachdem sie bereits früher gleichartige Straftaten verübt hat (Art. 221 Abs. 1 Bst. c StPO). Gemäss bundesgerichtlicher Rechtsprechung genügen dro- hende Verbrechen und schwere Vergehen für die Annahme von Wiederholungsge- fahr (BGE 137 IV 84 E. 3.2). Die in Art. 221 Abs. 1 Bst. c StPO genannten Delikte müssen ernsthaft drohen, indem sie die Sicherheit anderer erheblich gefährden. Notwendig, aber auch ausreichend ist grundsätzlich eine ungünstige Rückfallpro- gnose (BGE 143 IV 9 E. 2.10). Das Gesetz verlangt als weitere Voraussetzung der Präventivhaft wegen Wiederholungsgefahr, dass die beschuldigte Person bereits gleichartige Vortaten verübt hat. Erweisen sich die Risiken als untragbar hoch, kann vom Vortatenerfordernis sogar ganz abgesehen werden. Aufgrund einer sys- tematisch-teleologischen Auslegung von Art. 221 Abs. 1 Bst. c StPO ist das Bun- desgericht zum Schluss gekommen, es habe nicht in der Absicht des Gesetzge- bers gelegen, mögliche Opfer von schweren Gewaltdelikten einem derart hohen Rückfallrisiko auszusetzen (BGE 143 IV 9 E. 2.3.1 mit Hinweis auf BGE 137 IV 84 E. 3 f.). Sinn und Zweck der Anordnung von Haft wegen Wiederholungsgefahr ist die Verhütung von Delikten. Die Haft ist somit überwiegend Präventivhaft. Die Not- wendigkeit, die beschuldigte Person an der Begehung einer strafbaren Handlung zu hindern, anerkennt Art. 5 Ziff. 1 lit. c der Konvention zum Schutze der Men- schenrechte und der Grundfreiheiten (EMRK; SR 0.101) ausdrücklich als Haft- grund. Die Anordnung von Haft wegen Wiederholungsgefahr dient auch dem straf- prozessualen Ziel der Beschleunigung, indem verhindert wird, dass sich das Ver- fahren durch immer neue Delikte kompliziert und in die Länge zieht. Der Haftgrund der Wiederholungsgefahr ist restriktiv zu handhaben (BGE 137 IV 84 E. 3.2 mit Hinweisen).</w:t>
      </w:r>
    </w:p>
    <w:p>
      <w:r>
        <w:rPr>
          <w:b/>
        </w:rPr>
        <w:t>E. 4.2</w:t>
      </w:r>
    </w:p>
    <w:p>
      <w:r>
        <w:t>Durch Art. 122 StGB wird einerseits die körperliche Integrität geschützt. Anderer- seits schützen die Art. 122 ff. StGB die körperliche und geistige Gesundheit. Der Beschwerdeführer ist u.a. wegen versuchter einfacher Körperverletzung mit Gift, Waffe oder gefährlichem Gegenstand, Tätlichkeiten, Angriffs und Raufhandels</w:t>
      </w:r>
    </w:p>
    <w:p>
      <w:r>
        <w:rPr>
          <w:b/>
        </w:rPr>
        <w:t>E. 4.3</w:t>
      </w:r>
    </w:p>
    <w:p>
      <w:r>
        <w:t>Ob ernsthaft zu befürchten ist, dass der Beschwerdeführer bei einer Haftentlassung erneut schwere Vergehen oder Verbrechen begehen würde, ist – wie erwähnt – anhand einer Legal- bzw. Rückfallprognose zu beurteilen.</w:t>
      </w:r>
    </w:p>
    <w:p>
      <w:r>
        <w:rPr>
          <w:b/>
        </w:rPr>
        <w:t>E. 4.3.1</w:t>
      </w:r>
    </w:p>
    <w:p>
      <w:r>
        <w:t>Massgebliche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Die Einholung eines psychiatrischen Gutachtens ist zur Beurteilung der Rückfallgefahr jedoch nicht in jedem Fall notwendig (vgl. Urteil des Bundesgerichts 1B_376/2018 vom 28. August 2018 E. 5.4).</w:t>
      </w:r>
    </w:p>
    <w:p>
      <w:r>
        <w:rPr>
          <w:b/>
        </w:rPr>
        <w:t>E. 4.3.2</w:t>
      </w:r>
    </w:p>
    <w:p>
      <w:r>
        <w:t>In der Regel erscheint die Gefährdung der Sicherheit anderer umso höher, je schwerer die drohende Tat wiegt. Betreffend die Anforderungen an die Rückfallge- fahr gilt hingegen eine umgekehrte Proportionalität. Dies bedeutet, je schwerer die drohenden Taten sind und je höher die Gefährdung der Sicherheit anderer ist, des- 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 striktiv zu handhaben ist. Hieraus folgt, dass eine negative, d.h. eine ungünstige Rückfallprognose zur Annahme von Wiederholungsgefahr notwendig, grundsätzlich aber auch ausreichend ist (BGE 143 IV 9 E. 2.8-2.10 mit Hinweisen). Besonders bei drohenden schweren Gewaltverbrechen ist dabei auch dem psychischen Zu- stand der beschuldigten Person bzw. ihrer Unberechenbarkeit oder Aggressivität Rechnung zu tragen (BGE 143 IV 9 E. 2.8 und 140 IV 19 E. 2.1.1).</w:t>
      </w:r>
    </w:p>
    <w:p>
      <w:r>
        <w:rPr>
          <w:b/>
        </w:rPr>
        <w:t>E. 4.3.3</w:t>
      </w:r>
    </w:p>
    <w:p>
      <w:r>
        <w:t>Vorab kann auf die Ausführungen der Beschwerdekammer in ihrem Beschluss BK 20 340 vom 8. September 2020 verwiesen werden (E. 6.4), welche im Beschluss BK 20 510 vom 16. Dezember 2020 ebenfalls wiedergegeben werden (E. 5.4): Es trifft zu, dass die letzte Verurteilung wegen Raufhandels beinahe drei Jahre zurückliegt und die Vorstrafen wegen Angriffs und einfacher Körperverletzung mehr als fünf Jahre zurückliegen. Von ei- ner rascheren Kadenz der Taten kann damit nicht ausgegangen werden. Allerdings deutet die aktuel- le Tat auf eine zunehmende Eskalation respektive Gewaltintensität hin. Die Fusstritte gegen den Kopf des Geschädigten waren heftig. Dies zeigt die grosse Beule am Kopf des Geschädigten sowie der Umstand, dass der Beschwerdeführer beim Treten einen Schuh verloren hat (delegierte Einvernahme des Beschwerdeführers vom 15. August 2020, Z. 338). Der Umstand, dass der Geschädigte bereits am Boden lag, hielt den Beschwerdeführer nicht davon ab, weiter auf ihn loszugehen. Abgesehen von den Vorstrafen ist im Zusammenhang mit der Rückfallgefahr auch zu berücksichtigen, wie die Auskunftspersonen den Beschwerdeführer vor und während der Tat wahrnahmen. Er wird als aggressiv beschrieben (vgl. Ausführungen in E. 5.3 dieses Beschlusses). Sowohl E.________ als</w:t>
      </w:r>
    </w:p>
    <w:p>
      <w:r>
        <w:rPr>
          <w:b/>
        </w:rPr>
        <w:t>E. 5</w:t>
      </w:r>
    </w:p>
    <w:p>
      <w:r>
        <w:t>(pag. 425 ff.) vorbestraft. Es handelt sich dabei um schwere Vergehen und Verbre- chen, welche ebenfalls gegen Leib und Leben gerichtet sind. Es liegen damit gleichartige Straftaten vor.</w:t>
      </w:r>
    </w:p>
    <w:p>
      <w:r>
        <w:rPr>
          <w:b/>
        </w:rPr>
        <w:t>E. 6</w:t>
      </w:r>
    </w:p>
    <w:p>
      <w:r>
        <w:t>auch F.________ erwähnen in ihren Einvernahmen, dass der Beschwerdeführer aufgrund seiner fa- miliären Situation schon Schwieriges erlebt bzw. mit sich selber zu kämpfen habe (Z. 66, Z. 71 ff.; Z. 105) und auch Sachen falsch interpretiere (pag. 23, Z. 93 f.). Der Beschwerdeführer scheint den Ein- druck zu haben, dass alle gegen ihn sind. Dies wirkt sich im Zusammenhang mit der Wahrscheinlich- keit von weiteren Konflikten und deren Bewältigung ungünstig aus. Sowohl die Vorstrafen als insbe- sondere auch die aktuelle (grundsätzlich unbestrittene) Tat bestätigen das Gewaltpotenzial des Be- schwerdeführers. Seine Reaktion steht in keinem Verhältnis zum mutmasslichen Handeln (Einmi- schen) des Geschädigten, den er sogar als seinen Freund bezeichnet. Der Umstand, dass ein Streit bereits unter Freunden in dieser Weise eskalieren konnte, wirkt sich ebenfalls nachteilig auf die Rück- fallprognose aus. Es besteht die ernsthafte Befürchtung, dass der Beschwerdeführer auch in Zukunft Delikte begehen wird, welche die Sicherheit anderer erheblich gefährden. Die Wiederholungsgefahr ist daher zu bejahen. An dieser Ausgangslage hat sich grundsätzlich nichts geändert. Neu hat der Be- schwerdeführer ein forensisch-psychiatrisches Privatgutachten von Dr. med. G.________ vom 29. Juni 2021 eingereicht. Ferner musste die für den 6. Juli 2021 vorgesehene Hauptverhandlung infolge Krankheit der Staatsanwältin verschoben werden. Das Regionalgericht beabsichtigt zudem, ein rechtsmedizinisches Gutach- ten über den Geschädigten und ein forensisch-psychiatrisches Gutachten über den Beschwerdeführer, beides mit Frist bis zum 31. Oktober 2021, in Auftrag zu geben. Privatgutachten haben nach konstanter Praxis des Bundesgerichts nicht den glei- chen Stellenwert wie ein Gutachten, das von der Untersuchungsbehörde oder von einem Gericht eingeholt wurde. Den Ergebnissen eines im Auftrag des Beschuldig- ten erstellten Privatgutachtens kommt lediglich die Bedeutung einer der freien Be- weiswürdigung unterliegenden Parteibehauptung bzw. eines Bestandteils der Par- teivorbringen zu, nicht die Qualität eines Beweismittels. Da Privatgutachten in der Regel nur eingereicht werden, wenn sie für den Auftraggeber günstig lauten, sind sie mit Zurückhaltung zu würdigen. Dies gilt auch, wenn das Privatgutachten durch eine erfahrene und etablierte Fachperson erstellt wird, die auch als Gerichtsgutach- ter beigezogen wird. Der Privatgutachter ist nicht unabhängig und unparteiisch wie der amtliche Sachverständige. Er steht vielmehr in einem Auftragsverhältnis zu der ihn beauftragenden privaten Partei und äussert seine Meinung, ohne von den juris- tischen Entscheidungsträgern in die Pflicht genommen worden zu sein. Es ist daher beim Privatgutachter vom Anschein einer Befangenheit auszugehen, zumal er vom Angeschuldigten nach dessen Kriterien ausgewählt worden ist, zu diesem in einem Vertrags- und Treueverhältnis steht und von ihm entlöhnt wird. Demgegenüber ist der amtliche Sachverständige oder Experte – gleichgültig ob er von der Untersu- chungsbehörde oder vom Gericht ernannt wurde – nicht Gutachter einer Partei, namentlich auch nicht des Untersuchungsrichters oder des Anklägers. Er ist viel- mehr Entscheidungsgehilfe des Richters, dessen Wissen und Erfahrungen er durch besondere Kenntnisse auf seinem Sachgebiet ergänzt. Es ist daher ein privates Gutachten, auch wenn es durch eine anerkannte Fachperson erstellt wird, einem gerichtlich angeordneten Gutachten nicht gleichgestellt.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