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220 vom 1. Juni 2021</w:t>
      </w:r>
    </w:p>
    <w:p>
      <w:r>
        <w:t>BE Obergericht, 2021-06-01, DE</w:t>
      </w:r>
    </w:p>
    <w:p>
      <w:r>
        <w:rPr>
          <w:b/>
        </w:rPr>
        <w:t xml:space="preserve">Quelle: </w:t>
      </w:r>
      <w:r>
        <w:t>https://mcp.opencaselaw.ch/entscheid/be_zivilstraf_BK_2021_220</w:t>
      </w:r>
    </w:p>
    <w:p>
      <w:r>
        <w:t>FR: BE_ZIVILSTRAF BK 2021 220 du 1 juin 2021</w:t>
      </w:r>
    </w:p>
    <w:p>
      <w:r>
        <w:t>IT: BE_ZIVILSTRAF BK 2021 220 del 1 giugno 2021</w:t>
      </w:r>
    </w:p>
    <w:p>
      <w:pPr>
        <w:pStyle w:val="Heading2"/>
      </w:pPr>
      <w:r>
        <w:t>Regeste</w:t>
      </w:r>
    </w:p>
    <w:p>
      <w:r>
        <w:t>Nichtanhandnahme | Einstellung/Nichtanhandnahme</w:t>
      </w:r>
    </w:p>
    <w:p>
      <w:pPr>
        <w:pStyle w:val="Heading2"/>
      </w:pPr>
      <w:r>
        <w:t>Erwägungen</w:t>
      </w:r>
    </w:p>
    <w:p>
      <w:r>
        <w:rPr>
          <w:b/>
        </w:rPr>
        <w:t>E. 1</w:t>
      </w:r>
    </w:p>
    <w:p>
      <w:r>
        <w:t>Mit Verfügung vom 27. April 2021 nahm die Regionale Staatsanwaltschaft Bern- Mittelland (nachfolgend: Staatsanwaltschaft) das Verfahren gegen A.________ (nachfolgend: Beschuldigter), Mitarbeiter der Ausgleichskasse Kanton Bern, nicht an die Hand. Dagegen reichte B.________ (Straf- und Zivilkläger; nachfolgend: Beschwerdeführer) am 5. Mai 2021 Beschwerde ein und beantragte die Anhand- nahme seiner Strafanzeige resp. die Eröffnung einer Strafuntersuchung. Mit Blick auf das Nachfolgende verzichtete die Verfahrensleitung der Beschwerdekammer in Strafsachen des Obergerichts des Kantons Bern (nachfolgend: Beschwerdekam- mer) auf das Einholen einer Stellungnahme (Art. 390 Abs. 2 der Schweizerischen Strafprozessordnung [StPO; SR 312.0]). Es ergeht ein direkter Beschluss.</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erfolgte Nichtanhandnahme unmittelbar in seinen rechtlich geschützten Interes- sen betroffen (Art. 382 StPO). Auf die frist- und formgerechte Beschwerde ist ein- zutreten.</w:t>
      </w:r>
    </w:p>
    <w:p>
      <w:r>
        <w:rPr>
          <w:b/>
        </w:rPr>
        <w:t>E. 3</w:t>
      </w:r>
    </w:p>
    <w:p>
      <w:r>
        <w:t>Arbeitsbemühungen seiner Ehefrau eingereicht worden seien und dementspre- chend im Rahmen der Berechnung der Ergänzungsleistungen ein hypothetisches Erwerbseinkommen angerechnet werde, und verwies dabei auf den Umstand, dass die Ausgleichskasse Kanton Bern im März 2019 selber auf eine Anrechnung ver- zichtet und der Mitarbeiter der AHV-Zweigstelle C.________ die Ehefrau im Som- mer 2019 als nicht vermittelbar eingestuft habe. In ihrer Beschwerdeantwort vom 11. Dezember 2020 zu Handen des Verwaltungsgerichts machte die Ausgleichs- kasse Ausführungen zur Frage der Anrechenbarkeit eines hypothetischen Er- werbseinkommens, ohne explizit den Fragebogen resp. die dort vermerkte Nicht- Vermittelbarkeit zu erwähnen. Dies veranlasste den Beschwerdeführer zur Einrei- chung einer Strafanzeige, welche mit der hier angefochtenen Verfügung der Staatsanwaltschaft nicht an die Hand genommen wurde. Zur Begründung führte die Staatsanwaltschaft aus, dass dem Beschuldigten im Rahmen des Einspracheent- scheids und in Bezug auf die Ausführungen in der Beschwerdeantwort an das Ver- waltungsgericht kein strafbares Handeln – und insbesondere kein Missbrauch – vorgeworfen werden könne. Der Beschwerdeführer scheine mit dem Entscheid der Ausgleichskasse nicht einverstanden zu sein. Nicht genehme Entscheide der Aus- gleichskasse könnten mit Rechtsmitteln angefochten werden. Das entsprechende Verfahren richte sich nach Verwaltungsrecht. Sollte sich ein Entscheid/eine Verfü- gung einer Behörde als falsch erweisen, mache sich der Unterzeichnende nicht grundsätzlich strafbar.</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sie die Nichtanhandnahme, sobald aufgrund der Strafanzeige oder des Polizeirapports feststeht, dass die fraglichen Straftatbestände oder die Prozessvoraussetzungen eindeutig nicht erfüllt sind. Der Entscheid über die Nichtanhandnahme hat sich nach dem Grundsatz «in dubio pro duriore» zu richten (Urteil des Bundesgerichts 6B_1182/2018 vom 1. März 2019 E. 2.6). Mithin darf die Nichtanhandnahme gestützt auf Art. 310 Abs. 1 Bst. a StPO nur bei klarer Straflosigkeit bzw. offensichtlich fehlenden Prozessvoraussetzungen angeordnet werden. Klare Straflosigkeit liegt vor, wenn sicher ist, dass der Sach- verhalt unter keinen Straftatbestand fällt. Im Zweifelsfall – wenn die Sach- und/oder Rechtslage nicht von vornherein klar sind – ist eine Untersuchung zu eröffnen.</w:t>
      </w:r>
    </w:p>
    <w:p>
      <w:r>
        <w:rPr>
          <w:b/>
        </w:rPr>
        <w:t>E. 4.2</w:t>
      </w:r>
    </w:p>
    <w:p>
      <w:r>
        <w:t>Des Amtsmissbrauchs gemäss Art. 312 des Schweizerischen Strafgesetzbuchs (StGB; SR 311.0) machen sich Mitglieder einer Behörde oder Beamte strafbar, die ihre Amtsgewalt missbrauchen, um sich oder einem andern einen unrechtmässigen Vorteil zu verschaffen oder einem andern einen Nachteil zuzufügen. Amtsmiss- brauch ist der zweckentfremdete Einsatz staatlicher Macht. Art. 312 StGB schützt einerseits das Interesse des Staates an zuverlässigen Beamten, welche mit der ih- nen anvertrauten Machtposition pflichtbewusst umgehen, und andererseits das In- teresse der Bürger, nicht unkontrollierter und willkürlicher staatlicher Machtentfal- tung ausgesetzt zu werden (BGE 127 IV 209 E. 1b).</w:t>
      </w:r>
    </w:p>
    <w:p>
      <w:r>
        <w:rPr>
          <w:b/>
        </w:rPr>
        <w:t>E. 5.1</w:t>
      </w:r>
    </w:p>
    <w:p>
      <w:r>
        <w:t>Die angefochtene Nichtanhandnahme erweist sich als rechtens. Was der Be- schwerdeführer in seiner Beschwerde dagegen vorbringt, vermag an der Schluss- folgerung der Staatsanwaltschaft, wonach aus der Anzeige keine strafbaren Hand- lungen des Beschuldigten hervorgehen würden, nichts zu ändern. Anders als er meint, hat die Staatsanwaltschaft den Sachverhalt richtig erfasst. Einleitend wird in der angefochtenen Verfügung denn auch festgehalten, welches Verhalten der Be- schwerdeführer moniert, nämlich die Nichterwähnung des Fragebogens resp. der dort vermerkten Nicht-Vermittelbarkeit. Insoweit gelangte die Staatsanwaltschaft zum Schluss, dass die Ausführungen in der Beschwerdeantwort nicht unter das Tatbestandsmerkmal des Missbrauchs subsumiert werden könnten. Dass die Staatsanwaltschaft darüber hinaus auch noch ausgeführt hat, dass allfällige Feh- lentscheide der Ausgleichskasse Kanton Bern rechtsmittelweise zu beheben seien, allfällige Fehlentscheide jedoch grundsätzlich keine strafrechtliche Verantwortlich- keit zur Folge hätten, bedeutet nicht, dass sie den Sachverhalt nicht richtig erfasst hat. Weiter ist festzuhalten, dass die zur Eröffnung einer Strafuntersuchung erfor- derlichen tatsächlichen Hinweise auf eine strafbare Handlung erheblich und kon- kreter Natur sein müssen. Damit von einem strafprozessual relevanten Anfangs- verdacht ausgegangen werden kann, muss eine plausible Tatsachengrundlage vor- liegen, aus der sich die konkrete Möglichkeit der Begehung einer Straftat ergibt (Ur- teil des Bundesgerichts 6B_897/2015 vom 7. März 2016 E. 2.1 mit Hinweis auf Ur- teil des Bundesgerichts 6B_830/2013 vom 10. Dezember 2013 E. 1.4 mit Hinwei- sen; vgl. auch Urteil des Bundesgerichts 6B_178/2017 / 6B_191/2017 vom 25. Ok- tober 2017 E. 2.2.2). Eine solche ergibt sich weder aus der Beschwerdeschrift noch aus der Anzeige und den dazugehörigen Beilagen. Dass der Beschuldigte im Rahmen des verwaltungsgerichtlichen Beschwerdeverfahrens resp. in der dort ein- gereichten Beschwerdeantwort nicht explizit zum Fragebogen und der vermerkten Nicht-Vermittelbarkeit der Ehefrau Stellung genommen und damit nicht ausgeführt hat, weshalb ihres (Ausgleichskasse Kanton Bern) Erachtens trotz der dort ver- merkten Nicht-Vermittelbarkeit eine Anrechnung eines hypothetischen Einkom- mens zu erfolgen habe, ist in strafrechtlicher Hinsicht nicht von Relevanz resp. vermag den Tatbestand des Amtsmissbrauchs offensichtlich nicht zu erfüllen. Ab- gesehen davon werden in verwaltungsgerichtlichen Verfahren die Akten der Vorin- stanz beigezogen, so dass der vom Beschwerdeführer erwähnte Fragebogen der Rechtsmittelinstanz nicht verborgen geblieben sein konnte, zumal er diesen in sei- ner Beschwerde an das Verwaltungsgericht des Kantons Bern vom 8. Oktober 2020 bereits ausführlich thematisiert hatte. Dass die Staatsanwaltschaft vor diesem Hintergrund keine weiteren Abklärungen getätigt hat, ist nicht zu beanstanden.</w:t>
      </w:r>
    </w:p>
    <w:p>
      <w:r>
        <w:rPr>
          <w:b/>
        </w:rPr>
        <w:t>E. 5.2</w:t>
      </w:r>
    </w:p>
    <w:p>
      <w:r>
        <w:t>Zusammenfassend ist in Übereinstimmung mit der Staatsanwaltschaft festzuhalten, dass der zur Anzeige gebrachte Sachverhalt unter keinen Straftatbestand fällt. Dem Beschuldigten kann eindeutig kein strafbares Verhalten vorgeworfen werden. Die Nichtanhandnahme ist damit zu Recht erfolgt und die offensichtlich unbegrün- dete Beschwerde ist abzuweisen.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