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71 vom 23. März 2020</w:t>
      </w:r>
    </w:p>
    <w:p>
      <w:r>
        <w:t>BE Obergericht, 2020-03-23, DE</w:t>
      </w:r>
    </w:p>
    <w:p>
      <w:r>
        <w:rPr>
          <w:b/>
        </w:rPr>
        <w:t xml:space="preserve">Quelle: </w:t>
      </w:r>
      <w:r>
        <w:t>https://mcp.opencaselaw.ch/entscheid/be_zivilstraf_BK_2020_71</w:t>
      </w:r>
    </w:p>
    <w:p>
      <w:r>
        <w:t>FR: BE_ZIVILSTRAF BK 2020 71 du 23 mars 2020</w:t>
      </w:r>
    </w:p>
    <w:p>
      <w:r>
        <w:t>IT: BE_ZIVILSTRAF BK 2020 71 del 23 marzo 2020</w:t>
      </w:r>
    </w:p>
    <w:p>
      <w:pPr>
        <w:pStyle w:val="Heading2"/>
      </w:pPr>
      <w:r>
        <w:t>Regeste</w:t>
      </w:r>
    </w:p>
    <w:p>
      <w:r>
        <w:t>Erkennungsdienstliche Erfassung und DNA-Analyse | Andere Verfügungen StA, Polizei (393-a)</w:t>
      </w:r>
    </w:p>
    <w:p>
      <w:pPr>
        <w:pStyle w:val="Heading2"/>
      </w:pPr>
      <w:r>
        <w:t>Erwägungen</w:t>
      </w:r>
    </w:p>
    <w:p>
      <w:r>
        <w:rPr>
          <w:b/>
        </w:rPr>
        <w:t>E. 1</w:t>
      </w:r>
    </w:p>
    <w:p>
      <w:r>
        <w:t>Es seien die Verfügung zur Erstellung eines DNA-Profils der Staatsanwaltschaft Bern, Region Em- mental-Oberaargau, vom 13.2.2020, und die Verfügung der Kantonspolizei Bern betr. ED-Erfassung (mit WSA) und Erstellung eines DNA-Profils vom 17.2.2020 aufzuheben.</w:t>
      </w:r>
    </w:p>
    <w:p>
      <w:r>
        <w:rPr>
          <w:b/>
        </w:rPr>
        <w:t>E. 2</w:t>
      </w:r>
    </w:p>
    <w:p>
      <w:r>
        <w:t>Eventualiter sei anzuordnen, dass das DNA-Profil nur dafür verwendet werden darf, um von den noch nicht zugeordneten Spuren jene von A.________ auszusondern.</w:t>
      </w:r>
    </w:p>
    <w:p>
      <w:r>
        <w:rPr>
          <w:b/>
        </w:rPr>
        <w:t>E. 3</w:t>
      </w:r>
    </w:p>
    <w:p>
      <w:r>
        <w:t>Es sei der vorliegenden Beschwerde die aufschiebende Wirkung zuzuerkennen.</w:t>
      </w:r>
    </w:p>
    <w:p>
      <w:r>
        <w:rPr>
          <w:b/>
        </w:rPr>
        <w:t>E. 4</w:t>
      </w:r>
    </w:p>
    <w:p>
      <w:r>
        <w:t>Unter o/e-Kostenfolge zu Lasten des Kantons Bern. Verfahrensantrag:</w:t>
      </w:r>
    </w:p>
    <w:p>
      <w:r>
        <w:rPr>
          <w:b/>
        </w:rPr>
        <w:t>E. 4.1</w:t>
      </w:r>
    </w:p>
    <w:p>
      <w:r>
        <w:t>Gemäss Art. 255 Abs. 1 Bst. a StPO kann zur Aufklärung eines Verbrechens oder eines Vergehens von der beschuldigten Person eine Probe genommen und ein DNA-Profil erstellt werden. Mit Hilfe des Vergleichs von DNA-Profilen sollen ver- dächtige Personen identifiziert und weitere Personen vom Tatverdacht entlastet, Tatzusammenhänge erkannt sowie die Beweisführung unterstützt werden (Art. 2 Bst. a des DNA-Profil-Gesetzes [SR 363]).</w:t>
      </w:r>
    </w:p>
    <w:p>
      <w:r>
        <w:rPr>
          <w:b/>
        </w:rPr>
        <w:t>E. 4.2</w:t>
      </w:r>
    </w:p>
    <w:p>
      <w:r>
        <w:t>Bei der Erstellung eines DNA-Profils handelt sich um eine strafprozessuale Zwangsmassnahme, weshalb die entsprechende Anordnung in jedem Fall einen hinreichenden Tatverdacht voraussetzt (Art. 197 Abs. 1 Bst. b StPO). Um einen hinreichenden Tatverdacht zu begründen, bedarf es erheblicher Hinweise konkreter Natur (BGE 141 IV 87 E. 1.3.1). Es ist zu prüfen, ob aufgrund der bisherigen Unter- suchungsergebnisse genügend konkrete Anhaltspunkte für eine Straftat vorliegen, die Justizbehörden somit das Bestehen eines hinreichenden Tatverdachts mit ver- tretbaren Gründen bejahen durften. Es genügt dabei der Nachweis von konkreten Verdachtsmomenten, wonach das inkriminierte Verhalten mit erheblicher Wahr- scheinlichkeit die fraglichen Tatbestandsmerkmale erfüllen könnte (Urteil des Bun- desgerichts 1B_277/2013 vom 15. April 2014 E. 4.2 m.w.H.).</w:t>
      </w:r>
    </w:p>
    <w:p>
      <w:r>
        <w:rPr>
          <w:b/>
        </w:rPr>
        <w:t>E. 4.3</w:t>
      </w:r>
    </w:p>
    <w:p>
      <w:r>
        <w:t>Erkennungsdienstliche Massnahmen und die DNA-Profilerstellung sowie die Auf- bewahrung dieser Daten stellen einen Eingriff in das Recht auf persönliche Freiheit (Art. 10 Abs. 2 der Bundesverfassung [BV; SR 101]), auf informationelle Selbstbe-</w:t>
      </w:r>
    </w:p>
    <w:p>
      <w:r>
        <w:t>4 stimmung (Art. 13 Abs. 2 BV) und auf Familienleben gemäss Art. 8 der Konvention zum Schutze der Menschenrechte und Grundfreiheiten (EMRK; SR 0.101) dar (BGE 128 II 259 E. 3.2 S. 268; Urteil des Bundesgerichts 2C_257/2011 vom 25. Oktober 2011 E. 6.7.3). Dabei ist von einem leichten Eingriff auszugehen (BGE 134 III 241 E. 5.4.3 S. 247; 128 II 259 E. 3.3 S. 269 f.; Urteil des Bundesge- richts 2C_257/2011 vom 25. Oktober 2011 E. 6.7.3). Einschränkungen von Grund- rechten sind gestützt auf Art. 36 BV zulässig, sofern sie auf einer gesetzlichen Grundlage beruhen, im öffentlichen Interesse liegen, verhältnismässig sind und den Kerngehalt des Grundrechts wahren. Diese Voraussetzungen werden für die An- ordnung strafprozessualer Zwangsmassnahmen in Art. 197 Abs. 1 StPO konkreti- siert. Nach dessen Wortlaut können Zwangsmassnahmen nur ergriffen werden, wenn namentlich die damit angestrebten Ziele nicht durch mildere Massnahmen er- reicht werden können (Bst. c) und die Bedeutung der Straftat die Zwangsmass- nahme rechtfertigt (Bst. d).</w:t>
      </w:r>
    </w:p>
    <w:p>
      <w:r>
        <w:rPr>
          <w:b/>
        </w:rPr>
        <w:t>E. 5</w:t>
      </w:r>
    </w:p>
    <w:p>
      <w:r>
        <w:t>den Beschwerdeführer «von der CBD Anlage her» zu kennen; er habe ihn dort kennengelernt. Er glaube zumindest, dass der Beschwerdeführer von der Anlage wisse (Z. 209 und 221). Der Beschwerdeführer wiederum räumte dann bei seiner Einvernahme vom 17. Februar 2020 ein, mit D.________ vor Abschluss des Miet- vertrags über die CBD-Hanfanlage gesprochen zu haben. So (gemeint: dass es um eine CBD-Hanfanlage gehe) stehe es auch im Handelsregister (Z. 310). Undurch- sichtig sind sodann seine Angaben zur Wohnung, welche sich im fraglichen Ge- bäude befindet. Er bestreitet, dort zu wohnen, obwohl persönliche Gegenstände von ihm dort gefunden wurden. Als Erklärung dafür gab er an, die Wohnung möb- liert vermieten zu wollen. Die Sachen seien mit dem Mobiliar dorthin gekommen. Sie seien wohl in Schubladen oder in Schachteln beim Zügeln gewesen. Er könne es aber nicht genau sagen (EV vom 28. August 2019 Z. 72 ff.). Demgegenüber hat E.________ angeblich von einem gewissen F.________ gehört, dass der Be- schwerdeführer eine Wohnung an der fraglichen Adresse habe und dort schlafe (EV vom 27. August 2018 Z. 58). Bei der Einvernahme vom 17. Februar 2020 woll- te der Beschwerdeführer nichts Weiteres zur Wohnung sagen (Z. 129 ff.). Zunächst ist dem Beschwerdeführer entgegenzuhalten, dass die angefochtene Verfügung keine aktenwidrigen Behauptungen enthält, wenn dort steht, er habe bestritten, etwas von der Indooranlage gewusst zu haben. Dies tat er nämlich bei der ersten Einvernahme vom 28. August 2019, auf die sich die Verfügung vom 13. Februar 2020 stützt, sehr wohl. Die anderslautenden Aussagen vom 17. Febru- ar 2020 konnte die Staatsanwaltschaft noch gar nicht berücksichtigen. Davon abgesehen lassen die widersprüchlichen Aussagen des Beschwerdeführers aufhorchen. So fragt sich, weshalb er gegenüber der Polizei nicht von Anfang an bestätigte, die Lagerräumlichkeiten zwecks Betriebs einer CBD-Hanfanlage an D.________ vermietet zu haben. Dass er die Namen des Mieters sowie der Mitbe- schuldigten E.________ und C.________ trotz deren gegenteiligen Angaben nicht gekannt haben will, wirft ebenfalls Fragen auf. Betreffend C.________ sind die Be- streitungen des Beschwerdeführers umso weniger nachvollziehbar, als auf dem Mobiltelefon des Mitbeschuldigten WhatsApp-Konversationen zwischen den beiden gefunden werden konnten. Zu guter Letzt ist auch die Situation rund um die Woh- nung in der fraglichen Liegenschaft nicht klar. Aufgrund der aufgefundenen Effek- ten ist jedenfalls gut denkbar, dass der Beschwerdeführer entgegen seinen Anga- ben dort wohnt oder zumindest regelmässig dort übernachtet. Betrachtet man all diese Ungereimtheiten, scheint es nicht unwahrscheinlich, dass der Beschwerde- führer gewusst hat, dass in seiner Liegenschaft nicht CBD, sondern illegaler Hanf angebaut wird. Insgesamt bestehen genügend konkrete Anhaltspunkte dafür, dass er stärker in den Betrieb der fraglichen Hanfanlage involviert ist, als er zugibt. Demnach ist ein hinreichender Tatverdacht, wonach er sich der Widerhandlungen gegen das BetmG, allenfalls durch Gehilfenschaft, strafbar gemacht haben könnte, zu bejahen.</w:t>
      </w:r>
    </w:p>
    <w:p>
      <w:r>
        <w:rPr>
          <w:b/>
        </w:rPr>
        <w:t>E. 6</w:t>
      </w:r>
    </w:p>
    <w:p>
      <w:r>
        <w:t>Spurenverzeichnis des Kriminaltechnischen Dienstes (nachfolgend: KTD) vom 22. November 2019 zu entnehmen ist, wurden DNA-Spuren am Tatort unter ande- rem am Griff einer elektrischen Stichsäge, am ON-Knopf einer Waage, an den Trinköffnungen einer Getränkedose und von PET-Flaschen, an einem Japanmes- ser, einem Latexhandschuh und an Zigarettenstummeln gefunden. Sollte die DNA des Beschwerdeführers mit einer dieser Spuren übereinstimmen, liesse dies unter Umständen Rückschlüsse auf eine allfällige Tatbeteiligung zu. Wenn er nämlich nichts weiter als der Vermieter gewesen ist und die Halle nur vereinzelt betreten hat, dürfte seine DNA beispielsweise auf einer Waage nicht zu finden sein. Umge- kehrt kann der Abgleich seiner DNA mit den gesicherten Spuren auch zu seiner Entlastung beitragen, wenn sich keine Treffer ergeben. Damit ist auch gesagt, dass die Erstellung seines DNA-Profils einzig zum Zweck, noch nicht zugeordnete Spu- ren weiter auszusortieren, nicht ausreichend ist. Die Abklärungen des gegen den Beschwerdeführer bestehenden Tatverdachts erfordern vielmehr Kenntnis darüber, wo genau allenfalls seine DNA sichergestellt werden konnte. Angesichts der gerin- gen Eingriffsschwere der Massnahme ist dem Beschwerdeführer die DNA- Profilerstellung überdies auch zumutbar. Damit erweist sie sich im Ergebnis als ge- eignet, erforderlich und zumutbar und damit als verhältnismässig.</w:t>
      </w:r>
    </w:p>
    <w:p>
      <w:r>
        <w:rPr>
          <w:b/>
        </w:rPr>
        <w:t>E. 7</w:t>
      </w:r>
    </w:p>
    <w:p>
      <w:r>
        <w:t>Zusammenfassend sind die Voraussetzungen für die Erstellung eines DNA-Profils vorliegend erfüllt. Die vom Beschwerdeführer gegen die Verfügung der Staatsan- waltschaft erhobene Beschwerde ist somit unbegründet. Wie der Beschwerdeführer selber schreibt, wurde die erkennungsdienstliche Erfassung (Abnahme eines WSA) zum Zweck der DNA-Profilerstellung angeordnet. Die Beschwerde gegen die poli- zeiliche Verfügung betreffend ED-Erfassung teilt somit das Schicksal der Be- schwerde gegen die DNA-Profilerstellung. Weitere Ausführungen dazu erübrigen sich. Die Beschwerde wird gesamthaft abgewiesen.</w:t>
      </w:r>
    </w:p>
    <w:p>
      <w:r>
        <w:rPr>
          <w:b/>
        </w:rPr>
        <w:t>E. 8</w:t>
      </w:r>
    </w:p>
    <w:p>
      <w:r>
        <w:t>Bei diesem Ausgang des Verfahrens werden die Verfahrenskosten dem Beschwer- deführer auferlegt (Art. 428 Abs. 1 StPO). Gestützt auf Art. 28 Abs. 1 des Verfah- renskostendekrets (VKD; BSG 161.12) werden sie auf CHF 1‘200.00 festgelegt.</w:t>
      </w:r>
    </w:p>
    <w:p>
      <w:r>
        <w:rPr>
          <w:b/>
        </w:rPr>
        <w:t>E. 9</w:t>
      </w:r>
    </w:p>
    <w:p>
      <w:r>
        <w:t>Die amtliche Entschädigung von Advokat Prof. Dr. B.________ für die Aufwendun- gen im Beschwerdeverfahren wird im Endentscheid festzusetzen sein (Art. 135 Abs. 2 StPO).</w:t>
      </w:r>
    </w:p>
    <w:p>
      <w:r>
        <w:t>7 Die Beschwerdekammer in Strafsachen beschliesst: 1. Die Beschwerde wird abgewiesen. 2. Die Kosten des Beschwerdeverfahrens, bestimmt auf CHF 1‘200.00, werden dem Beschwerdeführer auferlegt. 3. Die amtliche Entschädigung für das Beschwerdeverfahren wird am Ende des Verfah- rens durch die Staatsanwaltschaft oder das urteilende Gericht festgesetzt. 4. Zu eröffnen: - dem Beschuldigten/Beschwerdeführer, a.v.d. Advokat Prof. Dr. B.________ - der Generalstaatsanwaltschaft Mitzuteilen: - der Regionalen Staatsanwaltschaft Emmental-Oberaargau, Staatsanwalt Moser (mit den Akten) - Kantonspolizei Bern, KTD, ED-Behandlung - Kantonspolizei Bern, Regionalpolizei Mittelland-Emmental-Oberaargau, Jason Niederhauser, Langenthalstrasse 27, 4912 Aarwangen Bern, 23. März 2020 Im Namen der Beschwerdekammer in Strafsachen Der Präsident i.V.: Oberrichter J. Bähler Die Gerichtsschreiberin: Lustenberger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