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508 vom 11. November 2020</w:t>
      </w:r>
    </w:p>
    <w:p>
      <w:r>
        <w:t>BE Obergericht, 2020-11-11, DE</w:t>
      </w:r>
    </w:p>
    <w:p>
      <w:r>
        <w:rPr>
          <w:b/>
        </w:rPr>
        <w:t xml:space="preserve">Quelle: </w:t>
      </w:r>
      <w:r>
        <w:t>https://mcp.opencaselaw.ch/entscheid/be_zivilstraf_BK_2020_508</w:t>
      </w:r>
    </w:p>
    <w:p>
      <w:r>
        <w:t>FR: BE_ZIVILSTRAF BK 2020 508 du 11 novembre 2020</w:t>
      </w:r>
    </w:p>
    <w:p>
      <w:r>
        <w:t>IT: BE_ZIVILSTRAF BK 2020 508 del 11 novembre 2020</w:t>
      </w:r>
    </w:p>
    <w:p>
      <w:pPr>
        <w:pStyle w:val="Heading2"/>
      </w:pPr>
      <w:r>
        <w:t>Regeste</w:t>
      </w:r>
    </w:p>
    <w:p>
      <w:r>
        <w:t>Nichtanhandnahme Strafverfahren wegen Urkundenfälschung | Einstellung/Nichtanhandnahme</w:t>
      </w:r>
    </w:p>
    <w:p>
      <w:pPr>
        <w:pStyle w:val="Heading2"/>
      </w:pPr>
      <w:r>
        <w:t>Erwägungen</w:t>
      </w:r>
    </w:p>
    <w:p>
      <w:r>
        <w:rPr>
          <w:b/>
        </w:rPr>
        <w:t>E. 1</w:t>
      </w:r>
    </w:p>
    <w:p>
      <w:r>
        <w:t>Mit Verfügung vom 11. November 2020 nahm die Regionale Staatsanwaltschaft Bern-Mittelland (nachfolgend: Staatsanwaltschaft) das Strafverfahren gegen A.________ (nachfolgend: Beschuldigter) wegen angeblicher Urkundenfälschung nicht an die Hand. Dagegen erhob der Straf- und Zivilkläger C.________ (nachfol- gend: Beschwerdeführer) am 30. November 2020 Beschwerde und verlangte sinn- gemäss die Eröffnung eines Strafverfahrens. Auf entsprechende Aufforderung der Verfahrensleitung hin leistete er am 7. Dezember 2020 eine Sicherheit über CHF 1'000.00. In ihrer Stellungnahme vom 18. Dezember 2020 beantragte die Ge- neralstaatsanwaltschaft die kostenfällige Abweisung der Beschwerde. Der Be- schuldigte, neu vertreten durch Rechtsanwalt B.________, beantragte am 18. Ja- nuar 2021 die Abweisung der Beschwerde unter Kosten- und Entschädigungsfolge. Am 21. Januar 2021 reichte der Beschwerdeführer abschliessende Bemerkungen ein.</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312.0], Art. 35 des Gesetzes über die Organisation der Gerichtsbehörden und der Staatsanwaltschaft [GSOG; BSG 161.1] i.V.m. Art. 29 Abs. 2 des Organisati- onsreglements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rer in dieser Sache überdies Strafanzeige gegen den Beschuldigten wegen Urkun- denfälschung und gab die Konstituierung als Straf- und Zivilkläger bekannt.</w:t>
      </w:r>
    </w:p>
    <w:p>
      <w:r>
        <w:rPr>
          <w:b/>
        </w:rPr>
        <w:t>E. 4</w:t>
      </w:r>
    </w:p>
    <w:p>
      <w:r>
        <w:t>Die angefochtene Verfügung ist folgendermassen begründet: Bei dem fraglichen Brief handelt es sich lediglich um eine Stellungnahme und Meinungsäusserung von A.________ zu den Parkierdiskussionen zwischen den genannten Parteien. Es ist nicht ersicht- lich, inwiefern das Schreiben geeignet sein soll, eine Tatsache von rechtlicher Bedeutung zu bewei- sen. Daran ändert auch die Tatsache nichts, dass das Schreiben Eingang in die Strafakten des Ver- fahrens wegen Beschimpfung fand. Doch selbst wenn der fragliche Brief als Urkunde im Sinne von Art. 110 Abs. 4 StGB gelten sollte, so fehlt es vorliegend am objektiven und subjektiven Tatbestand. A.________ bringt in seinem Schreiben vom 31. Juli 2020 vor, dass ihm erst durch die Eingabe der Rechtsvertretung von C.________ bewusst geworden sei, dass er das eigentliche Schreiben vom 25. August 2019 in nachdatierter Form und mit einem Zusatzbetreff versehen, eingereicht habe. Eine sol- che Nachdatierung in Vorteils- oder Schädigungsabsicht macht vorliegend keinen Sinn, zumal C.________ als Gegenpartei über den Originalbrief verfügt. Es scheint vielmehr plausibel, dass A.________ über keine Kopie des ursprünglichen Briefs verfügt und somit fälschlicherweise ein Ex- emplar ausgedruckt hat, welches er mutmasslich schon begonnen hat, neu zu bearbeiten, in der Ab- sicht, auf den unbestrittenermassen von C.________ erfolgten Brief vom 29. August 2019 zu antwor- ten, deshalb der Zusatzbetreff. A.________ ist daher keine Absicht nachzuweisen, dass er das bei der Polizei eingereichte Exemplar des Briefes vom 25. August 2019 aus Vorteils- oder Schädigungs- gründen falsch datiert und mit einem Zusatzbetreff versehen hat, ist doch der Text derselbe, wie in dem Brief vom 25. August 2019, womit sich herauslesen lässt, dass er sich auf einen Brief vom 11. August 2019 bezieht. Ferner ist auch nicht ersichtlich, in welcher Form der von A.________ beab- sichtigte Vorteil bei einer Falschdatierung hätte sein können oder tatsächlich gewesen ist, stützt sich doch der Strafbefehl vom 25. Juni 2020 gegen C.________ einzig auf die von C.________ in dessen Schreiben vom 29. August 2019 gemachten ehrverletzenden Äusserungen.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