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366 vom 15. September 2020</w:t>
      </w:r>
    </w:p>
    <w:p>
      <w:r>
        <w:t>BE Obergericht, 2020-09-15, DE</w:t>
      </w:r>
    </w:p>
    <w:p>
      <w:r>
        <w:rPr>
          <w:b/>
        </w:rPr>
        <w:t xml:space="preserve">Quelle: </w:t>
      </w:r>
      <w:r>
        <w:t>https://mcp.opencaselaw.ch/entscheid/be_zivilstraf_BK_2020_366</w:t>
      </w:r>
    </w:p>
    <w:p>
      <w:r>
        <w:t>FR: BE_ZIVILSTRAF BK 2020 366 du 15 septembre 2020</w:t>
      </w:r>
    </w:p>
    <w:p>
      <w:r>
        <w:t>IT: BE_ZIVILSTRAF BK 2020 366 del 15 settembre 2020</w:t>
      </w:r>
    </w:p>
    <w:p>
      <w:pPr>
        <w:pStyle w:val="Heading2"/>
      </w:pPr>
      <w:r>
        <w:t>Regeste</w:t>
      </w:r>
    </w:p>
    <w:p>
      <w:r>
        <w:t>Nichtanhandnahme; Verstösse gegen EMRK, StPO und die Bundesverfassung | Einstellung/Nichtanhandnahme</w:t>
      </w:r>
    </w:p>
    <w:p>
      <w:pPr>
        <w:pStyle w:val="Heading2"/>
      </w:pPr>
      <w:r>
        <w:t>Erwägungen</w:t>
      </w:r>
    </w:p>
    <w:p>
      <w:r>
        <w:rPr>
          <w:b/>
        </w:rPr>
        <w:t>E. 1</w:t>
      </w:r>
    </w:p>
    <w:p>
      <w:r>
        <w:t>Am 19. August 2020 erstattete B.________ Strafanzeige gegen die A.________(Behörde) (nachfolgend: A.________). Die Regionale Staatsanwalt- schaft Bern-Mittelland (nachfolgend: Staatsanwaltschaft) nahm das Verfahren mit Verfügung vom 1. September 2020 nicht an die Hand. Gegen die Nichtanhand- nahme erhob B.________ (nachfolgend: Beschwerdeführer) am 7. September 2020 Beschwerde. Formelle Anträge stellte er nicht. Aus seiner Beschwerde geht aber hervor, dass er nach wie vor die Auffassung vertritt, dass der Entscheid der A.________ und damit auch die Nichtanhandnahme falsch sind. Sinngemäss bean- tragt er mit der Beschwerde die Fortführung des Verfahrens. Mit Blick auf das Nachfolgende verzichtete die Verfahrensleitung auf die Durch- führung eines Schriftenwechsels (Art. 390 Abs. 2 der Strafprozessordnung [StPO; SR 312.0]).</w:t>
      </w:r>
    </w:p>
    <w:p>
      <w:r>
        <w:rPr>
          <w:b/>
        </w:rPr>
        <w:t>E. 2</w:t>
      </w:r>
    </w:p>
    <w:p>
      <w:r>
        <w:t>Gegen Verfügungen und Verfahrenshandlungen der Staatsanwaltschaft kann bei der Beschwerdekammer in Strafsachen innert zehn Tagen schriftlich und begrün- det Beschwerde geführt werden (Art. 393 Abs. 1 Bst. a i.V.m. Art. 396 Abs. 1 der Strafprozessordnung [StPO; SR 312], Art. 35 des Gesetzes über die Organisation der Gerichtsbehörden und der Staatsanwaltschaft [GSOG; BSG 161.1] i.V.m. Art. 29 Abs. 2 des Organisationsreglements des Obergerichts [OrR OG; BSG 162.11]). Die Eintretensvoraussetzungen sind grundsätzlich erfüllt.</w:t>
      </w:r>
    </w:p>
    <w:p>
      <w:r>
        <w:rPr>
          <w:b/>
        </w:rPr>
        <w:t>E. 3</w:t>
      </w:r>
    </w:p>
    <w:p>
      <w:r>
        <w:t>Der Beschwerdeführer ist mit einem Entscheid der A.________ nicht einverstanden und wirft dieser Verstösse gegen die Konvention zum Schutze der Menschenrechte und Grundfreiheiten (EMRK; SR 0.101), der Bundesverfassung der Schweizeri- schen Eidgenossenschaft (BV; SR 101) sowie der Strafprozessordnung vor. Die Staatsanwaltschaft verweist zu Recht darauf, dass es nicht Aufgabe der Strafjustiz ist, Urteile anderer Behörden formell und materiell zu überprüfen. Dafür stehen die im betreffenden Verfahren vorgesehenen Rechtsmittel zur Verfügung. Dement- sprechend ist auch eine allfällige Verletzung des Beschleunigungsgebotes durch die A.________ bei deren Rechtsmittelinstanz zu rügen. Abgesehen davon ist eine Verletzung des Beschleunigungsgebotes noch kein Anhaltspunkt für ein strafbares Verhalten. Die Ausführungen in der Beschwerde enthalten denn auch sonst keiner- lei Hinweise für ein strafrechtlich relevantes Verhalten der A.________ bzw. der entsprechenden Mitarbeiterin. Eine Verletzung des Beschleunigungsgebotes durch die Staatsanwaltschaft liegt mit Blick auf den Zeitpunkt der Anzeige (19. August 2020) und der Nichtanhandnahmeverfügung (1. September 2020) ebenfalls nicht vor. Die erfolgte Nichtanhandnahme ist rechtens und die offensichtlich unbegründe- te Beschwerde abzuweisen.</w:t>
      </w:r>
    </w:p>
    <w:p>
      <w:r>
        <w:rPr>
          <w:b/>
        </w:rPr>
        <w:t>E. 4</w:t>
      </w:r>
    </w:p>
    <w:p>
      <w:r>
        <w:t>Gestützt auf Art. 428 Abs. 1 StPO wird der unterliegende Beschwerdeführer für die Kosten des Beschwerdeverfahrens, bestimmt auf CHF 300.00, kostenpflichtig.</w:t>
      </w:r>
    </w:p>
    <w:p>
      <w:r>
        <w:t>3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