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332 vom 3. August 2020</w:t>
      </w:r>
    </w:p>
    <w:p>
      <w:r>
        <w:t>BE Obergericht, 2020-08-03, DE</w:t>
      </w:r>
    </w:p>
    <w:p>
      <w:r>
        <w:rPr>
          <w:b/>
        </w:rPr>
        <w:t xml:space="preserve">Quelle: </w:t>
      </w:r>
      <w:r>
        <w:t>https://mcp.opencaselaw.ch/entscheid/be_zivilstraf_BK_2020_332</w:t>
      </w:r>
    </w:p>
    <w:p>
      <w:r>
        <w:t>FR: BE_ZIVILSTRAF BK 2020 332 du 3 août 2020</w:t>
      </w:r>
    </w:p>
    <w:p>
      <w:r>
        <w:t>IT: BE_ZIVILSTRAF BK 2020 332 del 3 agosto 2020</w:t>
      </w:r>
    </w:p>
    <w:p>
      <w:pPr>
        <w:pStyle w:val="Heading2"/>
      </w:pPr>
      <w:r>
        <w:t>Regeste</w:t>
      </w:r>
    </w:p>
    <w:p>
      <w:r>
        <w:t>amtliche Verteidigung | Andere Verfügungen StA, Polizei (393-a)</w:t>
      </w:r>
    </w:p>
    <w:p>
      <w:pPr>
        <w:pStyle w:val="Heading2"/>
      </w:pPr>
      <w:r>
        <w:t>Erwägungen</w:t>
      </w:r>
    </w:p>
    <w:p>
      <w:r>
        <w:rPr>
          <w:b/>
        </w:rPr>
        <w:t>E. 1</w:t>
      </w:r>
    </w:p>
    <w:p>
      <w:r>
        <w:t>Die Regionale Staatsanwaltschaft Emmental-Oberaargau (nachfolgend: Staatsan- waltschaft) führt ein Strafverfahren gegen A.________ (nachfolgend: Beschwerde- führer) wegen falscher Anschuldigung, versuchter Anstiftung zu Brandstiftung, ver- suchter Nötigung etc. Mit Verfügung vom 3. August 2020 entliess die Staatsanwalt- schaft Fürsprecher C.________ aus dem amtlichen Mandat und setzte Fürsprecher B.________ mit Wirkung ab 3. August 2020 als neuen amtlichen Verteidiger des Beschwerdeführers ein. Hiergegen erhob der Beschwerdeführer am 13. August 2020 persönlich Beschwerde. Die Generalstaatsanwaltschaft schloss mit Stellung- nahme vom 17. September 2020 auf kostenfällige Abweisung der Beschwerde, soweit darauf einzutreten sei</w:t>
      </w:r>
    </w:p>
    <w:p>
      <w:r>
        <w:rPr>
          <w:b/>
        </w:rPr>
        <w:t>E. 2.1</w:t>
      </w:r>
    </w:p>
    <w:p>
      <w:r>
        <w:t>Gegen Verfügungen der Staatsanwaltschaft kann bei der Beschwerdekammer in Strafsachen innert zehn Tagen schriftlich und begründet Beschwerde geführt wer- den (Art. 393 Abs. 1 Bst. a i.V.m. Art. 396 Abs. 1 der Schweizerischen Strafpro- zessordnung [StPO; SR 312.0]; Art. 35 des Gesetzes über die Organisation der Gerichtsbehörden und der Staatsanwaltschaft [GSOG; BSG 161.1] i.V.m. Art. 29 Abs. 2 des Organisationsreglements des Obergerichts [OrR OG; BSG 162.11]). Die Verfügung betreffend Wechsel der amtlichen Verteidigung vom 3. August 2020 wurde dem Beschwerdeführer mittels A-Post eröffnet. Auch eine mittels A-Post zu- gestellte Sendung hat entgegen der Auffassung des Beschwerdeführers Geltung. Da die Verfügung nicht eingeschrieben versandt wurde, kann indes nicht eruiert werden, an welchem Tag sie dem Beschwerdeführer zugegangen ist und ob die Beschwerde fristgerecht eingereicht wurde. Zu Gunsten des Beschwerdeführers ist davon auszugehen, dass die Beschwerde vom 13. August 2020 (Postaufgabe: 18. August 2020) innert Frist erfolgte. Der Beschwerdeführer ist als Adressat der angefochtenen Verfügung betreffend Wechsel der amtlichen Verteidigung unmittel- bar in seinen rechtlich geschützten Interessen betroffen und somit grundsätzlich zur Beschwerdeführung legitimiert (Art. 382 Abs. 1 StPO). Soweit sich der Be- schwerdeführer zur angefochtenen Verfügung, d.h. zum Wechsel der amtlichen Verteidigung äussert, ist auf die Beschwerde folglich einzutreten.</w:t>
      </w:r>
    </w:p>
    <w:p>
      <w:r>
        <w:rPr>
          <w:b/>
        </w:rPr>
        <w:t>E. 2.2</w:t>
      </w:r>
    </w:p>
    <w:p>
      <w:r>
        <w:t>Der Beschwerdeführer erhebt in seiner Beschwerde indes weitestgehend Einwän- de, welche an der Sache vorbeigehen resp. nicht Verfahrensgegenstand bilden. Anfechtungsobjekt bildet vorliegend einzig die Verfügung der Staatsanwaltschaft vom 3. August 2020, wonach Fürsprecher C.________ aus dem amtlichen Mandat entlassen und Fürsprecher B.________ als neuer amtlicher Verteidiger des Be- schwerdeführers eingesetzt wurde. Soweit der Beschwerdeführer die Einstellung sämtlicher gegen ihn geführten Strafverfahren verlangt, ist hierauf nicht einzutreten. Der Antrag geht über den Verfahrensgegenstand hinaus und kann von der Be- schwerdekammer in Strafsachen nicht beurteilt werden (vgl. dazu bereits Be- schluss des Obergerichts des Kantons Bern BK 20 130 + 143 vom 6. April 2020 E. 2.1). Ebenfalls nicht Verfahrensgegenstand bilden die Rügen des Beschwerde- führers betreffend Akteneinsicht und Konfrontationsrecht. Auch insoweit ist auf die Beschwerde nicht einzutreten.</w:t>
      </w:r>
    </w:p>
    <w:p>
      <w:r>
        <w:rPr>
          <w:b/>
        </w:rPr>
        <w:t>E. 3.1</w:t>
      </w:r>
    </w:p>
    <w:p>
      <w:r>
        <w:t>Gemäss Art. 134 Abs. 2 StPO überträgt die Verfahrensleitung die amtliche Vertei- digung einer anderen Person, wenn das Vertrauensverhältnis zwischen der be- schuldigten Person und ihrer amtlichen Verteidigung erheblich gestört oder eine wirksame Verteidigung aus anderen Gründen nicht mehr gewährleistet ist. Die Re- gelung trägt dem Umstand Rechnung, dass eine engagierte und effiziente Verteidi- gung nicht nur bei objektiver Pflichtverletzung der Verteidigung, sondern bereits bei erheblich gestörtem Vertrauensverhältnis beeinträchtigt sein kann (BGE 138 IV 161 E. 2.4; RUCKSTUHL, in: Basler Kommentar, Schweizerische Strafprozessordnung, 2. Aufl. 2014, N. 8 zu Art. 134 StPO; SCHMID/JOSITSCH, Schweizerische Strafpro- zessordnung Praxiskommentar, 3. Aufl. 2018, N. 2 zu Art. 134 StPO).</w:t>
      </w:r>
    </w:p>
    <w:p>
      <w:r>
        <w:rPr>
          <w:b/>
        </w:rPr>
        <w:t>E. 3.2</w:t>
      </w:r>
    </w:p>
    <w:p>
      <w:r>
        <w:t>Fürsprecher C.________ hat mit Schreiben vom 2. Juni 2020 um Entlassung aus dem amtlichen Mandat ersucht. Zur Begründung führte er an, dass es ihm nicht ge- lungen sei, Kontakt mit dem Beschwerdeführer aufzunehmen und den Fall mit ihm zu besprechen. Der Beschwerdeführer habe ihn am Telefon immer wieder be- schimpft, ihn nicht ausreden lassen und die Gespräche abrupt beendet. Zudem ha- be der Beschwerdeführer Drohungen gegen seine Familie geäussert, bei ihm zu Hause angerufen und sich gegenüber seiner Partnerin lautstark negativ über ihn geäussert. Es habe kein Vertrauensverhältnis entstehen können. Der Beschwerde- führer habe mit den Drohungen und Äusserungen gegen seine Familie und mit der Gesprächsverweigerung gezeigt, dass er ihn als Verteidiger ablehne.</w:t>
      </w:r>
    </w:p>
    <w:p>
      <w:r>
        <w:rPr>
          <w:b/>
        </w:rPr>
        <w:t>E. 3.3</w:t>
      </w:r>
    </w:p>
    <w:p>
      <w:r>
        <w:t>Die Staatsanwaltschaft erachtete die von Fürsprecher C.________ angeführten Gründe vor dem Hintergrund des Verfahrensganges als nachvollziehbar und gab dem Antrag um Entlassung statt, unter gleichzeitiger Einsetzung von Fürsprecher B.________ als neuen amtlichen Verteidiger des Beschwerdeführers. Die Staats- anwaltschaft erwog in der angefochtenen Verfügung, es liege ein Fall notwendiger Verteidigung vor. Der Beschwerdeführer habe zwar in der Eingabe vom 20. Juni 2020 ohne näher zu bezeichnen, ob es sich bei der genannten Person um seinen Wahlverteidiger handeln solle, einen Rechtsanwalt D.________ aus Hamburg er- wähnt. Indes sei dieser in keinem schweizerischen Anwaltsregister eingetragen, weshalb erneut gestützt auf Art. 132 Abs. 1 Bst. a Ziff. 1 StPO eine Verteidigung zu bestellen sei.</w:t>
      </w:r>
    </w:p>
    <w:p>
      <w:r>
        <w:rPr>
          <w:b/>
        </w:rPr>
        <w:t>E. 3.4</w:t>
      </w:r>
    </w:p>
    <w:p>
      <w:r>
        <w:t>Den Ausführungen der Staatsanwaltschaft ist beizupflichten. Dass die Staatsan- waltschaft Fürsprecher B.________ als neuen amtlichen Verteidiger eingesetzt hat, ist nicht zu beanstanden. Was der Beschwerdeführer hiergegen in der Beschwerde vorbringt, vermag nicht zu überzeugen. Soweit der Beschwerdeführer Einwände gegen Fürsprecher C.________ erhebt, ist ihm entgegenzuhalten, dass dieser – wie von ihm offenbar gewünscht – aus dem amtlichen Mandat entlassen wurde. Seine diesbezüglichen Einwände sind deshalb nicht zu hören resp. bestätigen, dass das Vertrauensverhältnis zwischen ihm und Fürsprecher C.________ offen- sichtlich tatsächlich erheblich gestört war, was die Entlassung aus dem amtlichen Mandat rechtfertigte. Plausible Einwände gegen Fürsprecher B.________ werden vom Beschwerdeführer keine vorgebracht. Der Beschwerdeführer bringt hinsicht- lich Fürsprecher B.________ lediglich vor, dieser sei «inkompetent» und «sie hät- ten früher mal etwas mit ihm zu tun gehabt, somit sei dieser eh befangen». Worin</w:t>
      </w:r>
    </w:p>
    <w:p>
      <w:r>
        <w:rPr>
          <w:b/>
        </w:rPr>
        <w:t>E. 3.5</w:t>
      </w:r>
    </w:p>
    <w:p>
      <w:r>
        <w:t>Nach dem Gesagten ist die Beschwerde unbegründet und daher abzuweisen, so- weit darauf einzutreten ist.</w:t>
      </w:r>
    </w:p>
    <w:p>
      <w:r>
        <w:rPr>
          <w:b/>
        </w:rPr>
        <w:t>E. 4</w:t>
      </w:r>
    </w:p>
    <w:p>
      <w:r>
        <w:t>Bei diesem Ausgang des Verfahrens sind die Kosten des Beschwerdeverfahrens, bestimmt auf CHF 1'200.00, dem Beschwerdeführer aufzuerlegen (Art. 428 Abs. 1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