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156 vom 27. April 2020</w:t>
      </w:r>
    </w:p>
    <w:p>
      <w:r>
        <w:t>BE Obergericht, 2020-04-27, DE</w:t>
      </w:r>
    </w:p>
    <w:p>
      <w:r>
        <w:rPr>
          <w:b/>
        </w:rPr>
        <w:t xml:space="preserve">Quelle: </w:t>
      </w:r>
      <w:r>
        <w:t>https://mcp.opencaselaw.ch/entscheid/be_zivilstraf_BK_2020_156</w:t>
      </w:r>
    </w:p>
    <w:p>
      <w:r>
        <w:t>FR: BE_ZIVILSTRAF BK 2020 156 du 27 avril 2020</w:t>
      </w:r>
    </w:p>
    <w:p>
      <w:r>
        <w:t>IT: BE_ZIVILSTRAF BK 2020 156 del 27 aprile 2020</w:t>
      </w:r>
    </w:p>
    <w:p>
      <w:pPr>
        <w:pStyle w:val="Heading2"/>
      </w:pPr>
      <w:r>
        <w:t>Regeste</w:t>
      </w:r>
    </w:p>
    <w:p>
      <w:r>
        <w:t>Verlängerung Untersuchungshaft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Berner Jura-Seeland (nachfolgend: Staatsan- waltschaft) führt ein Verfahren gegen A.________ wegen Diebstahls, Sachbeschä- digung, Drohung, einfacher Körperverletzung, Tätlichkeiten, Hausfriedensbruchs, Urkundenfälschung, Ungehorsams gegen eine amtliche Verfügung sowie qualifi- zierter Widerhandlungen gegen das Betäubungsmittelgesetz (BetmG; SR 812.121) und weiterer Delikte. Mit Entscheid des Regionalen Zwangsmassnahmengerichts Berner Jura-Seeland (nachfolgend: Zwangsmassnahmengericht oder Vorinstanz) vom 21. Juni 2019 wurde A.________ in Untersuchungshaft versetzt. Nach mehr- facher Verlängerung wurde die Untersuchungshaft am 27. März 2020 letztmals um drei Monate verlängert. Gegen die erneute Verlängerung erhob A.________ (nach- folgend: Beschwerdeführer) am 9. April 2020 Beschwerde und stellte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