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67 vom 25. April 2019</w:t>
      </w:r>
    </w:p>
    <w:p>
      <w:r>
        <w:t>BE Obergericht, 2019-04-25, DE</w:t>
      </w:r>
    </w:p>
    <w:p>
      <w:r>
        <w:rPr>
          <w:b/>
        </w:rPr>
        <w:t xml:space="preserve">Quelle: </w:t>
      </w:r>
      <w:r>
        <w:t>https://mcp.opencaselaw.ch/entscheid/be_zivilstraf_BK_2019_67</w:t>
      </w:r>
    </w:p>
    <w:p>
      <w:r>
        <w:t>FR: BE_ZIVILSTRAF BK 2019 67 du 25 avril 2019</w:t>
      </w:r>
    </w:p>
    <w:p>
      <w:r>
        <w:t>IT: BE_ZIVILSTRAF BK 2019 67 del 25 aprile 2019</w:t>
      </w:r>
    </w:p>
    <w:p>
      <w:pPr>
        <w:pStyle w:val="Heading2"/>
      </w:pPr>
      <w:r>
        <w:t>Regeste</w:t>
      </w:r>
    </w:p>
    <w:p>
      <w:r>
        <w:t>Verwertbarkeit von Zufallsfunden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31. Januar 2019 teilte die Regionale Staatsanwaltschaft Oberland (nachfol- gend: Staatsanwaltschaft) den Beschuldigten C.________, A.________ (nachfol- gend: Beschwerdeführer), D.________ und E.________ mit, dass u.a. folgende Überwachungsmassnahmen durchgeführt worden seien: Betreffend den Beschwerdeführer: Genehmigung von Zufallsfunden aus den Echt- zeitüberwachungen der Mobiltelefonnummern 1.________ und 2.________ sowie des Mobiltelefons IMEI 3.________. Grund für die Überwachung sei der konkrete und dringende Tatverdacht des Ver- brechens gegen das Betäubungsmittelgesetz gewesen. Die Überwachung habe dazu gedient, das Ausmass des Handels und allfällige Telefonnummern von C.________ zu ermitteln.</w:t>
      </w:r>
    </w:p>
    <w:p>
      <w:r>
        <w:rPr>
          <w:b/>
        </w:rPr>
        <w:t>E. 1.2</w:t>
      </w:r>
    </w:p>
    <w:p>
      <w:r>
        <w:t>Gegen diese Verfügung erhob der Beschwerdeführer, a.v.d. Rechtsanwältin B.________, am 11. Februar 2019 Beschwerde beim Obergericht des Kantons Bern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