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2019 528 vom 9. Januar 2020</w:t>
      </w:r>
    </w:p>
    <w:p>
      <w:r>
        <w:t>BE Obergericht, 2020-01-09, DE</w:t>
      </w:r>
    </w:p>
    <w:p>
      <w:r>
        <w:rPr>
          <w:b/>
        </w:rPr>
        <w:t xml:space="preserve">Quelle: </w:t>
      </w:r>
      <w:r>
        <w:t>https://mcp.opencaselaw.ch/entscheid/be_zivilstraf_BK_2019_528</w:t>
      </w:r>
    </w:p>
    <w:p>
      <w:r>
        <w:t>FR: BE_ZIVILSTRAF BK 2019 528 du 9 janvier 2020</w:t>
      </w:r>
    </w:p>
    <w:p>
      <w:r>
        <w:t>IT: BE_ZIVILSTRAF BK 2019 528 del 9 gennaio 2020</w:t>
      </w:r>
    </w:p>
    <w:p>
      <w:pPr>
        <w:pStyle w:val="Heading2"/>
      </w:pPr>
      <w:r>
        <w:t>Regeste</w:t>
      </w:r>
    </w:p>
    <w:p>
      <w:r>
        <w:t>Gesetzliche Grundlage für Sicherheitshaft im Massnahmeverlängerungsverfahren | ZMG Haft (393-c)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Vor dem Regionalgericht Berner Jura-Seeland (nachfolgend: Regionalgericht) ist ein Verfahren nach Art. 363 der Schweizerischen Strafprozessordnung (StPO; SR 312.0) betreffend Verlängerung der stationären therapeutischen Massnahme von A.________ hängig. Im Rahmen dieses Verfahrens wurde A.________ am 20. Mai 2019 in Sicherheitshaft versetzt. Am 21. November 2019 beantragte das Regional- gericht die Verlängerung der Sicherheitshaft. Diesen Antrag hiess das Regionale Zwangsmassnahmengericht Berner Jura-Seeland (nachfolgend: Zwangsmass- nahmengericht oder Vorinstanz) am 29. November 2019 gut und verlängerte die Sicherheitshaft um sechs Monate bis am 27. Mai 2020. A.________ (nachfolgend: Beschwerdeführer) erhob am 12. Dezember 2019 Beschwerde gegen den Verlän- gerungsentscheid. Im Einzelnen stellte er folgende Rechtsbegehren: Vorfragen: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