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513 vom 27. November 2019</w:t>
      </w:r>
    </w:p>
    <w:p>
      <w:r>
        <w:t>BE Obergericht, 2019-11-27, DE</w:t>
      </w:r>
    </w:p>
    <w:p>
      <w:r>
        <w:rPr>
          <w:b/>
        </w:rPr>
        <w:t xml:space="preserve">Quelle: </w:t>
      </w:r>
      <w:r>
        <w:t>https://mcp.opencaselaw.ch/entscheid/be_zivilstraf_BK_2019_513</w:t>
      </w:r>
    </w:p>
    <w:p>
      <w:r>
        <w:t>FR: BE_ZIVILSTRAF BK 2019 513 du 27 novembre 2019</w:t>
      </w:r>
    </w:p>
    <w:p>
      <w:r>
        <w:t>IT: BE_ZIVILSTRAF BK 2019 513 del 27 novembre 2019</w:t>
      </w:r>
    </w:p>
    <w:p>
      <w:pPr>
        <w:pStyle w:val="Heading2"/>
      </w:pPr>
      <w:r>
        <w:t>Regeste</w:t>
      </w:r>
    </w:p>
    <w:p>
      <w:r>
        <w:t>Ausstand | Ausstand (59)</w:t>
      </w:r>
    </w:p>
    <w:p>
      <w:pPr>
        <w:pStyle w:val="Heading2"/>
      </w:pPr>
      <w:r>
        <w:t>Erwägungen</w:t>
      </w:r>
    </w:p>
    <w:p>
      <w:r>
        <w:rPr>
          <w:b/>
        </w:rPr>
        <w:t>E. 1</w:t>
      </w:r>
    </w:p>
    <w:p>
      <w:r>
        <w:t>Vor dem Regionalgericht Oberland (nachfolgend: Regionalgericht) ist seit dem</w:t>
      </w:r>
    </w:p>
    <w:p>
      <w:r>
        <w:rPr>
          <w:b/>
        </w:rPr>
        <w:t>E. 6</w:t>
      </w:r>
    </w:p>
    <w:p>
      <w:r>
        <w:t>Weitere Verfügungen erfolgen später. Nach objektiven Gesichtspunkten ist diese Verfahrenshandlung augenfällig nicht geeignet, den Anschein von Befangenheit bei der Gesuchsgegnerin zu erwecken. Von rassistischer Diskriminierung kann keine Rede sein. Inwiefern Versicherungs- gesellschaften bei der Gesuchsgegnerin lobbyieren sollen und/oder inwieweit dies hier relevant sein soll, vermag die Beschwerdekammer nicht zu erkennen. Auch generell ist nicht ersichtlich, weshalb die Gesuchsgegnerin befangen sein oder sich rassistisch geäussert haben sollte. Es ist kein Ausstandsgrund glaubhaft gemacht. 3.5 Nach dem Gesagten ist das Ausstandsgesuch abzuweisen. 4. Bei diesem Ausgang des Verfahrens wird der Gesuchsteller kostenpflichtig (Art. 59 Abs. 4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