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494 vom 21. November 2019</w:t>
      </w:r>
    </w:p>
    <w:p>
      <w:r>
        <w:t>BE Obergericht, 2019-11-21, DE</w:t>
      </w:r>
    </w:p>
    <w:p>
      <w:r>
        <w:rPr>
          <w:b/>
        </w:rPr>
        <w:t xml:space="preserve">Quelle: </w:t>
      </w:r>
      <w:r>
        <w:t>https://mcp.opencaselaw.ch/entscheid/be_zivilstraf_BK_2019_494</w:t>
      </w:r>
    </w:p>
    <w:p>
      <w:r>
        <w:t>FR: BE_ZIVILSTRAF BK 2019 494 du 21 novembre 2019</w:t>
      </w:r>
    </w:p>
    <w:p>
      <w:r>
        <w:t>IT: BE_ZIVILSTRAF BK 2019 494 del 21 novembre 2019</w:t>
      </w:r>
    </w:p>
    <w:p>
      <w:pPr>
        <w:pStyle w:val="Heading2"/>
      </w:pPr>
      <w:r>
        <w:t>Regeste</w:t>
      </w:r>
    </w:p>
    <w:p>
      <w:r>
        <w:t>Nichtanhandnahme Strafverfahren wegen Folter | Einstellung/Nichtanhandnahme</w:t>
      </w:r>
    </w:p>
    <w:p>
      <w:pPr>
        <w:pStyle w:val="Heading2"/>
      </w:pPr>
      <w:r>
        <w:t>Erwägungen</w:t>
      </w:r>
    </w:p>
    <w:p>
      <w:r>
        <w:rPr>
          <w:b/>
        </w:rPr>
        <w:t>E. 1</w:t>
      </w:r>
    </w:p>
    <w:p>
      <w:r>
        <w:t>Mit Verfügung vom 10. Januar 2018 (recte: 2019) nahm die Regionale Staatsan- waltschaft Bern-Mittelland (nachfolgend: Staatsanwaltschaft) das Strafverfahren gegen unbekannte Täterschaft wegen Folter, angeblich mehrfach an verschiede- nen Orten begangen, nicht an die Hand. Diese Verfügung holte A.________ (nach- folgend: Beschwerdeführer) am 11. November 2019 bei der Staatsanwaltschaft ab. Der Beschwerdeführer ist soweit ersichtlich obdachlos. Mit Schreiben vom 14. No- vember 2019 an die Staatsanwaltschaft erhob er eine Beschwerde. Die Staatsan- waltschaft leitete das Schreiben am 15. November 2019 an die Beschwerdekam- mer in Strafsachen weiter (Eingang: 18. November 2019). Mit Blick auf das Nach- folgende verzichtete die Verfahrensleitung auf das Einholen einer Stellungnahme (Art. 390 Abs. 2 der Strafprozessordnung [StPO; SR 312]).</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grundsätzlich unmittelbar in seinen rechtlich geschützten Interessen betroffen und somit zur Beschwerdeführung legitimiert (Art. 382 Abs. 1 StPO). Es kann offen ge- lassen werden, ob die Beschwerde fristgerecht eingereicht worden ist, da sie – wie nachfolgend gezeigt wird – materiell ohnehin offensichtlich unbegründet ist.</w:t>
      </w:r>
    </w:p>
    <w:p>
      <w:r>
        <w:rPr>
          <w:b/>
        </w:rPr>
        <w:t>E. 3</w:t>
      </w:r>
    </w:p>
    <w:p>
      <w:r>
        <w:t>Die angefochtene Verfügung ist wie folgt begründet: Mit Schreiben vom 26.11.2018 warf A.________ „Staats Polizisten oder Beauftragte Gelegenheits Folter“ vor, ihn mehrfach gefoltert zu haben. Er sei gegen seinen Willen mittels Laser und Militärradar bestrahlt worden. Die unbekannte Täterschaft habe ihm ausserdem Stoffe in den Mund und in die Lunge gefüllt. Des Weiteren sei sein linker Fuss derart verletzt worden, dass er nun zwei tiefe Löcher aufweise. […] Die Ausführungen des Strafanzeigers erscheinen inkohärent und wirr. Dies betrifft ne- ben der Täterschaft auch die ihr vorgeworfenen Taten. Die Schwelle des hinreichenden Tatverdachts i.S.v. Art. 309 Abs. 1 Bst. a StPO wird mithin nicht erreicht, da sind die Ausführungen zu diffus. Aus diesem Grund wir das Verfahren nicht an die Hand genommen.</w:t>
      </w:r>
    </w:p>
    <w:p>
      <w:r>
        <w:rPr>
          <w:b/>
        </w:rPr>
        <w:t>E. 4</w:t>
      </w:r>
    </w:p>
    <w:p>
      <w:r>
        <w:t>Der Beschwerdeführer bringt zusammengefasst (weiterhin) vor, Staatspolizisten würden ihn foltern und vergiften; dies im Bereich Nase, Lunge, Bauch, Hals, Kopf Hoden, Fuss etc. Die Folter dauere an. Er verlange Schadenersatz.</w:t>
      </w:r>
    </w:p>
    <w:p>
      <w:r>
        <w:rPr>
          <w:b/>
        </w:rPr>
        <w:t>E. 5.1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w:t>
      </w:r>
    </w:p>
    <w:p>
      <w:r>
        <w:t>3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Eine Nichtanhandnahme darf nur ver- fügt werden, wenn mit Sicherheit feststeht, dass der zur Beurteilung vorliegende Sachverhalt unter keinen Straftatbestand fällt oder gar nicht verfolgbar ist. Meist fehlt es an einem Straftatbestand bei rein zivilrechtlichen Streitigkeiten oder bei früheren Straftaten, welche nach derzeit geltendem Recht nicht mehr bestraft wer- den (vgl. OMLIN, in: Basler Kommentar StPO, 2. Aufl. 2014, N. 9 zu Art. 310 StPO). Der Anfangsverdacht soll eine plausible Tatsachengrundlage haben, aus der sich die konkrete Möglichkeit der Begehung einer Straftat ergibt (statt vieler Beschluss des Obergerichts des Kantons Bern BK 15 366 vom 2. Dezember 2015; Urteil des Bundesgerichts 6B_455/2015 vom 26. Oktober 2015 E. 4.1).</w:t>
      </w:r>
    </w:p>
    <w:p>
      <w:r>
        <w:rPr>
          <w:b/>
        </w:rPr>
        <w:t>E. 5.2</w:t>
      </w:r>
    </w:p>
    <w:p>
      <w:r>
        <w:t>Die Beschwerde ist offensichtlich unbegründet. Vorab kann auf die zutreffenden Ausführungen in der angefochtenen Verfügung verwiesen werden (siehe vorne E. 3). Es sind in keiner Art Tatsachen erkennbar, die auf einen Verdacht einer be- gangenen Straftat schliessen lassen. Der Inhalt der Beschwerdeschrift erscheint wirr. Eine reale und strafrechtlich relevante Tathandlung ist nicht erkennbar. Eine tatsächliche Folter, Vergiftung oder ähnliches durch die erwähnten «Staatspolizis- ten» kann weder der Anzeige noch der Beschwerde entnommen werden. Mangels hinreichenden Tatverdachts wurde das Verfahren richtigerweise nicht an die Hand genommen.</w:t>
      </w:r>
    </w:p>
    <w:p>
      <w:r>
        <w:rPr>
          <w:b/>
        </w:rPr>
        <w:t>E. 6</w:t>
      </w:r>
    </w:p>
    <w:p>
      <w:r>
        <w:t>Bei diesem Ausgang des Verfahrens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