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471 vom 20. November 2019</w:t>
      </w:r>
    </w:p>
    <w:p>
      <w:r>
        <w:t>BE Obergericht, 2019-11-20, DE</w:t>
      </w:r>
    </w:p>
    <w:p>
      <w:r>
        <w:rPr>
          <w:b/>
        </w:rPr>
        <w:t xml:space="preserve">Quelle: </w:t>
      </w:r>
      <w:r>
        <w:t>https://mcp.opencaselaw.ch/entscheid/be_zivilstraf_BK_2019_471</w:t>
      </w:r>
    </w:p>
    <w:p>
      <w:r>
        <w:t>FR: BE_ZIVILSTRAF BK 2019 471 du 20 novembre 2019</w:t>
      </w:r>
    </w:p>
    <w:p>
      <w:r>
        <w:t>IT: BE_ZIVILSTRAF BK 2019 471 del 20 novembre 2019</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A.________ (nachfolgend: Beschwerdeführer) ein Strafver- fahren wegen Diebstahls, Sachbeschädigung, Hausfriedensbruchs etc. Mit Ent- scheid vom 18. Oktober 2019 ordnete das Regionale Zwangsmassnahmengericht Berner Jura-Seeland (nachfolgend: Zwangsmassnahmengericht) die Untersu- chungshaft an; dies beschränkt auf zwei Monate, d.h. bis zum 15. Dezember 2019. Dagegen erhob der Beschwerdeführer am 1. November 2019 Beschwerde und be- antragte, der Entscheid des Zwangsmassnahmengerichts sei aufzuheben und er sei unter Kosten- und Entschädigungsfolge sofort aus der Untersuchungshaft zu entlassen. Mit Eingabe vom 4. November 2019 verzichtete das Zwangsmassnah- mengericht auf eine Stellungnahme bzw. verwies auf seinen Entscheid vom 18. Oktober 2019. In ihrer delegierten Stellungnahme vom 8. November 2019 bean- tragte die Staatsanwaltschaft die kostenfällige Abweisung der Beschwerde. Der Beschwerdeführer replizierte am 19. November 2019 und hielt an seinen Anträgen fest. Im Übrigen bleibt anzumerken, dass bei der Staatsanwaltschaft am</w:t>
      </w:r>
    </w:p>
    <w:p>
      <w:r>
        <w:rPr>
          <w:b/>
        </w:rPr>
        <w:t>E. 5</w:t>
      </w:r>
    </w:p>
    <w:p>
      <w:r>
        <w:t>So wollte er zunächst die rote Jacke noch nie gesehen haben. Als er mit dem Er- gebnis der DNA-Auswertung konfrontiert wurde, passte er seine Aussage so an, dass es möglich sei, dass er diese angefasst habe (vgl. EV Beschwerdeführer vom 3. Oktober 2019, Z. 41 f. und 74 ff.). Auch wollte er bei seiner Befragung F.________ nicht kennen (Z. 56 f.), wurde aber gemäss Anzeigerapport vom 14. Oktober 2019 im September 2019 innert zwei Tagen gemeinsam mit F.________ kontrolliert (vgl. dazu auch den Anzeigerapport vom 25. September 2019 i.S. Ladendiebstahl). Im Weiteren bestreitet der Beschwerdeführer den Tatverdacht bezüglich des Ein- bruchs vom 28. August 2019. Indes wird bereits im Anzeigerapport vom 18. Sep- tember 2019 auf Seite 4 erwähnt, dass am Tatort die Fingerabdrücke des Be- schwerdeführers sichergestellt worden sind. Die Vorinstanz durfte sich im Haftver- fahren darauf stützen, obwohl der Rapport mit der Auswertung der Fingerabdrü- cken noch nicht vorgelegen hatte und noch nicht klar gewesen ist, wo die Abdrücke festgestellt und welche Spuren sichergestellt wurden. Der entsprechende und ein- deutige Rapport des KTD vom 18. September 2019 ging zwischenzeitlich bei der Staatsanwaltschaft ein und lag ihrer Stellungnahme vom 8. November 2019 bei. Anlässlich seiner Hafteinvernahme vom 16. Oktober 2019 wurde dem Beschwerde- führer überdies vorgehalten, dass seine Fingerabdrücke an dem Tatort hätten si- chergestellt werden können (Z. 124-126). Diese eindeutigen Spuren, welche ab dem Fenster der Einstiegsstelle sichergestellt wurden, in Kombination damit, dass er nur zwei Tage später im Besitz von zwei bei diesem Einbruch entwendeten Mo- biltelefonen angehalten und kontrolliert wurde, begründen einen dringenden Tat- verdacht offensichtlich mehr als nur ausreichend. Die Beweislage ist erdrückend. 4. 4.1 Neben dem dringenden Tatverdacht setzt die Untersuchungshaft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 E. 3.2). Eine Inhaftierung wegen Wiederholungsgefahr kommt nicht nur bei ernst- haft zu befürchtenden Delikten gegen Leib und Leben in Betracht, sondern auch bei schweren Vermögensdelikten z.B. gewerbsmässigem Betrug oder Serien von Einbruch- bzw. Einschleichdiebstählen (Urteil des Bundesgerichts 1B_249/2014 vom 6. August 2014 E. 3.4 mit Hinweisen; 1B_379/2011 vom 2. August 2011 E. 2.9). Die in Art. 221 Abs. 1 Bst. c StPO genannten Delikte müssen ernsthaft dro- hen, indem sie die Sicherheit anderer erheblich gefährden. Notwendig, aber auch ausreichend ist grundsätzlich eine ungünstige Rückfallprognose (BGE 143 IV 9 E. 2.10 [Änderung der Rechtsprechung]).</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(BGE 139 IV 270 E. 3.1). Nach Art. 212 Abs. 2 Bst. c StPO sind freiheitsentziehende Zwangs- massnahmen aufzuheben, sobald Ersatzmassnahmen nach Art. 237 StPO zum gleichen Ziel führen. Auch ohne entsprechenden Antrag ist zu prüfen, ob eine Haft- entlassung gestützt auf ausreichende Ersatzmassnahmen möglich beziehungswei- se geboten erscheint (BGE 133 I 27 E. 3.2 [Pra 2007 Nr. 26]).</w:t>
      </w:r>
    </w:p>
    <w:p>
      <w:r>
        <w:rPr>
          <w:b/>
        </w:rPr>
        <w:t>E. 5.2</w:t>
      </w:r>
    </w:p>
    <w:p>
      <w:r>
        <w:t>Der Beschwerdeführer bestreitet die Verhältnismässigkeit der Untersuchungshaft. Das Argument, es könne nie ein Verfahren abgeschlossen werden, wenn immer neue Anzeigen eingehen würden, könne für die Haft nicht genügen. Es müsse an- dere Wege geben, das Verfahren abzuschliessen, bspw. indem künftig auf die Ver- einigung der Verfahren verzichtet werde. Das Interesse des Beschwerdeführers an persönlicher Freiheit wiege höher als das Interesse des Staates an der wirksamen Verfolgung des Strafanspruchs. Zudem handle sich bei den vorgeworfenen Delik- ten nicht um Verbrechen oder schwere Vergehen gegen hochwertige Rechtsgüter, sondern hauptsächlich um geringfügige Vermögensdelikte und Drogenkonsum.</w:t>
      </w:r>
    </w:p>
    <w:p>
      <w:r>
        <w:rPr>
          <w:b/>
        </w:rPr>
        <w:t>E. 5.3</w:t>
      </w:r>
    </w:p>
    <w:p>
      <w:r>
        <w:t>Die Untersuchungshaft erweist sich auch mit Blick auf die Verhältnismässigkeit des Grundrechtseingriffs als rechtmässig. Die Argumente der Verteidigung vermögen daran nichts zu ändern. Das Zwangsmassnahmengericht hat eine Dauer von (bloss) zwei Monaten Untersuchungshaft angeordnet. Dies, weil gemäss der Staatsanwaltschaft die polizeilichen Ermittlungen zur Hauptsache abgeschlossen sind und – unter der Voraussetzung, dass die Parteien im Zuge der «Frist 318 StPO» keine aufwändigen Beweisanträge stellen – eine baldige Anklage möglich ist. Aufgrund der konkreten Vorwürfe von zwei Einbruchdiebstählen, einem Trick- diebstahl, ca. 23 Anzeigen wegen Missachtung einer Ausgrenzung und den massi- ven Vorstrafen drohen dem Beschwerdeführer mehr als sechs Monate Freiheits- strafe. Aus diesem Grund sind die zwei Monate Untersuchungshaft verhältnismäs- sig. Auch wiederum mit Blick auf das Beschleunigungsgebot wiegen der Strafan- spruch des Staates sowie der Schutz von Grundrechten Dritten höher als das In- teresse des Beschwerdeführers an seiner persönlichen Freiheit. Ferner sind im vor- liegenden Verfahren keine tauglichen Ersatzmassnahmen zu erkennen. 6. Nach dem Gesagten ist die Anordnung der Untersuchungshaft im Sinne einer ulti- ma ratio bis am 15. Dezember 2019 rechtens. Die Beschwerde ist abzuweisen.</w:t>
      </w:r>
    </w:p>
    <w:p>
      <w:r>
        <w:rPr>
          <w:b/>
        </w:rPr>
        <w:t>E. 6</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 hen. Das Delikt, auf das sich der dringende Tatverdacht bezieht, ist nicht von Be- lang (GOLDSCHMID/MAURER/SOLLBERGER, Kommentierte Textausgabe zur Schwei- zerischen Strafprozessordnung, 2008, S. 207). 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Nach der bundesgerichtlichen Rechtsprechung kann die Untersuchungshaft wegen Wiederholungsgefahr auch dem Verfahrensziel der Beschleunigung dienen, indem verhindert wird, dass sich der Strafprozess durch immer neue Delikte kompliziert und in die Länge zieht (BGE 137 IV 84 E. 3.2 mit Hinweisen; Urteile des Bundesgerichts 1B_270/2016 vom 4. August 2016 E. 2.2, 1B_32/2017 vom 4. Mai 2017 E. 3.1). 4.2 Der Beschwerdeführer argumentiert, es liege keine Wiederholungsgefahr vor. Er sei zwar wegen zahlreicher Delikte verurteilt worden. Da jedoch nur Delikte berück- sichtigt werden dürften, welche die Sicherheit anderer erheblich gefährden, mit den Delikten des Untersuchungsverfahrens zusammenhängen sowie gleiche Rechts- güter betreffen würden, seien die meisten ausser Acht zu lassen. Einen Hinweis auf einen Hausfriedensbruch und einen Diebstahl, welche er am 19. April 2019 be- gangen haben solle, lasse sich weder dem Strafregisterauszug noch dem Haftan- trag entnehmen. Diese Delikte könnten keine relevanten Vortaten darstellen. Über- dies gefährde ein Hausfriedensbruch kombiniert mit einem Diebstahl die Sicherheit anderer nicht immer. Es könne sein, dass sich jemand lediglich des Hausfriedens- bruchs und des Diebstahls schuldig mache, weil er ein Ladenlokal betrete, bei dem die betroffene Person ein Hausverbot habe und im Ladenlokal einen Diebstahl be- gehe. Auch der als Vortat gewertete Einbruchdiebstahl vom 27./28. August 2019 genüge den Anforderungen an die Berücksichtigung von Straftaten aus dem hängi- gen Verfahren als Vortaten nicht. Der blosse dringende Tatverdacht begründe kei- nen Nachweis des verübten Delikts. Es sei vielmehr ein Geständnis oder eine er- drückende Beweislage notwendig. Dies sei nicht der Fall. Des Weiteren habe der Beschwerdeführer bis anhin keine schweren Vermögensdelikte wie gewerbsmässi- gen Betrug begangen. Die Einbruchdiebstähle seien nicht erstellt bzw. sei nicht ge- prüft worden, ob dabei eine erhebliche Gefährdung anderer eingetreten sei. Es sei</w:t>
      </w:r>
    </w:p>
    <w:p>
      <w:r>
        <w:rPr>
          <w:b/>
        </w:rPr>
        <w:t>E. 7</w:t>
      </w:r>
    </w:p>
    <w:p>
      <w:r>
        <w:t>nicht zu erwarten, dass der Beschwerdeführer in Zukunft solch schwere Vermö- gensdelikte begehen werde. Ihm könne lediglich eine ungünstige Rückfallprognose in Bezug auf geringfügige Delikte, die die Sicherheit anderer nicht erheblich ge- fährden würden, gestellt werden. Die rein hypothetische Möglichkeit der Verübung weiterer Delikte sowie die Wahrscheinlichkeit, dass nur geringfügige Straftaten ver- übt würden, reichten nicht aus, um eine Präventivhaft zu begründen. Bei der Unter- suchungshaft gelte das Prinzip der «ultima ratio». In der Replik lässt der Beschwerdeführer ergänzen, dass es vorliegend nur um Vermögensdelikte sowie um Verstösse gegen das Ausländergesetz und das Betäubungsmittelgesetz gehe, nicht aber um Delikte gegen Leib und Leben. Als Vortaten kämen nur Delikte in Frage, die mit den Delikten des hängigen Untersu- chungsverfahrens zusammenhängen und gleiche Rechtsgüter betreffen würden. Die Fälle aus dem Strafbefehl der Jugendanwaltschaft Oberland vom 15. Januar 2019 beträfen hauptsächlich Körperverletzungen und Drohungen, aber keine Diebstähle oder Einbrüche. Die Staatsanwaltschaft gehe nicht darauf ein, dass gemäss der Vorinstanz nur zwei Vortaten als erstellt angesehen würden, wovon es für die Vortat (vom 19. April 2019) keine Anhaltspunkte in den Akten gebe und die andere Vortat (vom 28. August 2019) Teil des laufenden Verfahrens bilde. Im Übri- gen sei auch den neuen Akten kein Einbruchdiebstahl vom 19. April 2019 zu ent- nehmen. Die Vorinstanz habe den Sachverhalt falsch festgestellt. Die Staatsan- waltschaft beschränke sich darauf, ein Bild des Beschwerdeführers als gefährlichen Wiederholungstäter zu zeichnen. Dies allein genüge nicht für die Anordnung der Untersuchungshaft. Ferner stütze sich die Staatsanwaltschaft auf das Verhalten von F.________ ab, wenn sie festhalte, dass nie kalkulierbar sei, was geschehe, wenn für Einbrüche gefährliches Werkzeug mitgeführt werde. Der Beschwerdefüh- rer sei jedoch nicht mit solchem Werkzeug angehalten worden. 4.3 Die Wiederholungsgefahr im Sinne von Art. 221 Abs. 1 Bst. c StPO ist gegeben. Die Voraussetzungen dafür sind erfüllt, auch wenn aus den Akten tatsächlich kein Einbruchdiebstahl vom 19. April 2019 erkennbar ist, wie die Verteidigung korrekt vorbringt. Die Staatsanwaltschaft edierte während des laufenden Beschwerdever- fahrens die Akten der Jugendanwaltschaft Oberland BO-17-0332. Teile davon hat sie als Beilagen zu ihrer Stellungnahme eingereicht. Diese kann die Beschwerde- kammer berücksichtigen, auch wenn sie erst nachträglich eingereicht wurden. Der Beschwerdeführer hat die Möglichkeit erhalten, dazu Stellung zu nehmen und hat dies auch getan. Diese Dokumente belegen die Gefährlichkeit und die sehr hohe Rückfallgefahr – auch für Delikte gegen Leib und Leben – in ausreichender Deut- lichkeit auf. Es kann in diesem Kontext insbesondere auf den ganze 99 Delikte ab- handelnden Strafbefehl der Jugendanwaltschaft Oberland vom 15. Januar 2019, den Nachentscheid der Jugendanwaltschaft Oberland vom 7. Juni 2019 sowie auf das psychologisch-forensische Gutachten vom 6. November 2018 (siehe dort: Be- antwortung der Fragen) verwiesen werden. Namentlich die Fälle 1, 2, 6, 8, 48 und 49 im Strafbefehl der Jugendanwaltschaft Oberland zeigen auf, dass der Be- schwerdeführer in Konfliktsituationen zu Gewalt neigt. Dabei bedroht er Personen mit gefährlichen Gegenständen wie Glasscherben, Gläsern oder spitzen Besenstie- len. Bei einem Vorfall kam es gar zu Fusstritten gegen den Kopf eines Geschädig- ten. Ausserdem betreffen die Fälle aus dem Strafbefehl keineswegs «nur» Körper-</w:t>
      </w:r>
    </w:p>
    <w:p>
      <w:r>
        <w:rPr>
          <w:b/>
        </w:rPr>
        <w:t>E. 8</w:t>
      </w:r>
    </w:p>
    <w:p>
      <w:r>
        <w:t>verletzungen und Drohungen, sondern auch zahlreiche Diebstähle, Hausfriedens- brüche und Sachbeschädigungen. Gemäss dem Gutachten leidet der Beschwerde- führer an einer massiven Störung des Sozialverhaltens. Sein Aggressions- und Gewaltpotential wird als erheblich beurteilt, woraus sich eine hohe Fremdgefähr- dung ergebe. Es bestehe eine deutlich ausgeprägte Gefahr, dass er mit schwer- wiegenden Delikten gegen Leib und Leben, wie z.B. schwere Körperverletzung, rückfällig werde. Das Risiko für Delikte wie Tätlichkeiten und Drohungen wird als deutlich bis sehr hoch eingeschätzt. Diese Rückfallgefahr besteht aus gutachterli- cher Sicht auch für Eigentumsdelikte und Delikte gegen das Betäubungsmittelge- setz. Beim Beschwerdeführer existiert gemäss dem Gutachten keine konkrete Massnahmenmotivation. Daher hätten sämtliche bisherigen Platzierungen in diver- sen Settings nicht die nötigen Effekte gezeigt. Diese Einschätzung wird freilich durch die hohe Anzahl an begangenen Delikten seit der Fertigstellung des Gutach- tens vor exakt einem Jahr sehr deutlich bestätigt. Der Beschwerdeführer schob anlässlich der Hafteröffnungseinvernahme sein Ver- halten schwergewichtig den Behörden zu, da ihm in der Schweiz zu wenig geholfen und er nicht unterstützt werde. Die Ausführungen im Nachentscheid der Jugend- anwaltschaft Oberland vom 7. Juni 2019 zeigen indes ein anderes Bild. Der Be- schwerdeführer hat sich bisher auf keine Kooperation mit den verschiedensten Fachstellen eingelassen. Die bisherigen Unterbringungen – seien es offene, ge- schlossene oder ambulante Betreuungen – hätten jeweils nur kurzfristige Verhal- tensänderungen bewirkt. Beispielhalber kann ebenfalls auf den Entscheid der KESB Emmental vom 24. Januar 2018 verwiesen werden. Für diese Einschätzun- gen sprechen auch die aktuellen Entwicklungen in Bezug auf das hängige Strafver- fahren, in welchem dem Beschwerdeführer unter anderem zwei Einbruchdiebstähle und ein gemeinschaftlich begangener Trickdiebstahl vorgeworfen werden. Ein Ein- bruchdiebstahl ist entgegen der Ansicht der Verteidigung kein reines Vermögens- delikt. Die potenzielle Gewaltgefahr bei Einbrüchen generell zeigt sich alleine am Beispiel des Eindringens in die Liegenschaft an der J.________-Strasse in Bern, wo F.________, als er (wegen Müdigkeit) in der Wohnung geblieben ist, von den Geschädigten überrascht und festgehalten wurde. Es lässt sich nicht kalkulieren, was bei Begegnungen mit Geschädigten in solchen Situation geschehen kann. Dies gerade wenn der bereits wegen Gewaltanwendung negativ aufgefallene Be- schwerdeführer – wie es regelmässig der Fall ist – unter dem Einfluss von ver- schiedenen Betäubungsmitteln steht. Ein Rechtsgüter-Konnex zwischen den Vorta- ten und den Delikten des hängigen Untersuchungsverfahrens liegt vor. Zusammengefasst besteht erstens eine ungünstige Rückfallprognose für schwer- wiegende Delikte auch gegen Leib und Leben (siehe insb. psychologisch- forensisches Gutachten vom 6. November 2018, S. 65 Mitte). Zweitens ist das Vor- tatenerfordernis erfüllt, welches sich insbesondere aus dem Vorfall vom 19. August 2017 (Körperverletzung durch Fusstritte an Kopf), dem Vorfall vom 19. April 2018 (Diebstahl z.N. H.________ AG; Deliktsbetrag ca. CHF 560.00), dem Vorfall vom 27./28. August 2019 (Einbruchdiebstahl; Fingerabdruck an Küchenfenster als er- drückender Beweis) in Zusammenhang mit seinen zahllosen Widerhandlungen ge- gen das Betäubungsmittelgesetz (Marihuana, Kokain, MDMA, Benzodiazepin etc.) ergibt. Es stimmt mithin nicht, dass sich die Staatsanwaltschaft alleine darauf be-</w:t>
      </w:r>
    </w:p>
    <w:p>
      <w:r>
        <w:rPr>
          <w:b/>
        </w:rPr>
        <w:t>E. 9</w:t>
      </w:r>
    </w:p>
    <w:p>
      <w:r>
        <w:t>schränke, ein Bild des Beschwerdeführers als gefährlichen Wiederholungstäter zu «zeichnen». Drittens dient die zweimonatige Untersuchungshaft wegen Wiederho- lungsgefahr auch dem wichtigen Ziel der Verfahrensbeschleunigung. 5.</w:t>
      </w:r>
    </w:p>
    <w:p>
      <w:r>
        <w:rPr>
          <w:b/>
        </w:rPr>
        <w:t>E. 10</w:t>
      </w:r>
    </w:p>
    <w:p>
      <w:r>
        <w:t>7. Bei diesem Ausgang des Verfahrens werden die Kosten des Beschwerdeverfah- rens, bestimmt auf CHF 1‘500.00, dem unterliegenden Beschwerdeführer auferlegt (Art. 428 Abs. 1 StPO). Die Entschädigung der amtlichen Verteidigerin für ihre Auf- wendungen im Beschwerdeverfahren wird durch die Staatsanwaltschaft oder das urteilende Gericht im Endentscheid festzusetzen sein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