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470 vom 13. November 2019</w:t>
      </w:r>
    </w:p>
    <w:p>
      <w:r>
        <w:t>BE Obergericht, 2019-11-13, DE</w:t>
      </w:r>
    </w:p>
    <w:p>
      <w:r>
        <w:rPr>
          <w:b/>
        </w:rPr>
        <w:t xml:space="preserve">Quelle: </w:t>
      </w:r>
      <w:r>
        <w:t>https://mcp.opencaselaw.ch/entscheid/be_zivilstraf_BK_2019_470</w:t>
      </w:r>
    </w:p>
    <w:p>
      <w:r>
        <w:t>FR: BE_ZIVILSTRAF BK 2019 470 du 13 novembre 2019</w:t>
      </w:r>
    </w:p>
    <w:p>
      <w:r>
        <w:t>IT: BE_ZIVILSTRAF BK 2019 470 del 13 novembre 2019</w:t>
      </w:r>
    </w:p>
    <w:p>
      <w:pPr>
        <w:pStyle w:val="Heading2"/>
      </w:pPr>
      <w:r>
        <w:t>Regeste</w:t>
      </w:r>
    </w:p>
    <w:p>
      <w:r>
        <w:t>20191111_135542_ANOM.docx | Andere Verfügungen StA, Polizei (393-a)</w:t>
      </w:r>
    </w:p>
    <w:p>
      <w:pPr>
        <w:pStyle w:val="Heading2"/>
      </w:pPr>
      <w:r>
        <w:t>Erwägungen</w:t>
      </w:r>
    </w:p>
    <w:p>
      <w:r>
        <w:rPr>
          <w:b/>
        </w:rPr>
        <w:t>E. 1</w:t>
      </w:r>
    </w:p>
    <w:p>
      <w:r>
        <w:t>An A.________ resp. die B.________ GmbH (in Liq.), ergeht die Aufforderung zur sofortigen Herausgabe der folgenden Unterlagen an die mit dem Vollzug dieser Verfügung beauftragten Angehörigen der Kantonspolizei Bern (Art. 265 StPO):</w:t>
      </w:r>
    </w:p>
    <w:p>
      <w:r>
        <w:rPr>
          <w:b/>
        </w:rPr>
        <w:t>E. 1.1</w:t>
      </w:r>
    </w:p>
    <w:p>
      <w:r>
        <w:t>sämtliche Verträge, Abrechnungen und weitere Korrespondenz im Zusammenhang mit den in der Liste aufgeführten Kunden der B.________ GmbH (in Liq.).</w:t>
      </w:r>
    </w:p>
    <w:p>
      <w:r>
        <w:rPr>
          <w:b/>
        </w:rPr>
        <w:t>E. 1.2</w:t>
      </w:r>
    </w:p>
    <w:p>
      <w:r>
        <w:t>Am 30. Oktober 2019, morgens um 8.15 Uhr, wurde der Hausdurchsuchungsbefehl polizeilich umgesetzt. Anlässlich der Hausdurchsuchung erhielt der Beschwerde- führer ein Doppel der Verfügung vom 9. Oktober 2019.</w:t>
      </w:r>
    </w:p>
    <w:p>
      <w:r>
        <w:rPr>
          <w:b/>
        </w:rPr>
        <w:t>E. 1.3</w:t>
      </w:r>
    </w:p>
    <w:p>
      <w:r>
        <w:t>Gegen diese Verfügung erhob der Beschwerdeführer mit Eingabe vom 30. Oktober 2019 (Postaufgabe am gleichen Tag) Beschwerde. Er machte geltend, dass am</w:t>
      </w:r>
    </w:p>
    <w:p>
      <w:r>
        <w:rPr>
          <w:b/>
        </w:rPr>
        <w:t>E. 1.4</w:t>
      </w:r>
    </w:p>
    <w:p>
      <w:r>
        <w:t>Mit Blick auf das Nachfolgende hat die Verfahrensleitung auf einen Schriftenwech- sel resp. das Einholen einer Stellungnahme verzichtet (Art. 390 Abs. 2 der Straf- prozessordnung [StPO; SR 312.0]). 2.</w:t>
      </w:r>
    </w:p>
    <w:p>
      <w:r>
        <w:rPr>
          <w:b/>
        </w:rPr>
        <w:t>E. 2</w:t>
      </w:r>
    </w:p>
    <w:p>
      <w:r>
        <w:t>Gesetzliche Zwangsmassnahmen:</w:t>
      </w:r>
    </w:p>
    <w:p>
      <w:r>
        <w:rPr>
          <w:b/>
        </w:rPr>
        <w:t>E. 2.1</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w:t>
      </w:r>
    </w:p>
    <w:p>
      <w:r>
        <w:t>3 anwaltschaft [GSOG; BSG 161.1] i.V.m. Art. 29 Abs. 2 des Organisationsregle- ments des Obergerichts [OrR OG; BSG 162.11]).</w:t>
      </w:r>
    </w:p>
    <w:p>
      <w:r>
        <w:rPr>
          <w:b/>
        </w:rPr>
        <w:t>E. 2.2</w:t>
      </w:r>
    </w:p>
    <w:p>
      <w:r>
        <w:t>Zur Beschwerdeführung legitimiert ist jede Partei, die durch die angefochtene Ver- fügung in ihren rechtlich geschützten Interessen betroffen ist (Art. 382 Abs. 1 StPO). Die Verfügung vom 9. Oktober 2019 ist längst vollzogen und die dadurch veranlassten Untersuchungshandlungen (Hausdurchsuchung, Durchsuchung von Aufzeichnungen) sind abgeschlossen. Sie können im jetzigen Verfahrensstadium nicht mehr korrigiert werden (GUIDON, Die Beschwerde gemäss Schweizerischer Strafprozessordnung, 2011, S. 103 f. Rz. 244). Somit fehlt es diesbezüglich an einem aktuellen Rechtsschutzinteresse. Der Beschwerdeführer macht auch keine weiteren, das Verfahren beeinflussende Nachteile, wie z.B. ein Beweisverwer- tungsverbot, geltend. Die Frage, ob die Hausdurchsuchung rechtswidrig angeord- net wurde, weshalb dem Beschwerdeführer gegenüber dem Staat allenfalls eine angemessene Entschädigung und Genugtuung nach Art. 431 Abs. 1 StPO zusteht, wird – soweit der Beschwerdeführer es verlangt – im Rahmen des Endentscheids behandelt (Urteil des Bundesgerichts 1B_351/2012 vom 20. September 2012 E. 2.3.2, in: Pra 2012 Nr. 134 S. 964). Es fehlt damit auch ein aktuelles praktisches Interesse an der Überprüfung der Verfügung vom 9. Oktober 2019 im Hinblick auf ein allfälliges Entschädigungsbegehren. Soweit der Beschwerdeführer seine Auf- wendungen direkt der Privatklägerin in Rechnung stellen möchte, ist darauf hinzu- weisen, dass es sich bei dem Tatbestand der ungetreuen Geschäftsbesorgung nach Art. 158 des Schweizerischen Strafgesetzbuches (StGB; SR 311.0) um kein Antragsdelikt handelt. Deshalb greift Art. 432 Abs. 2 StPO nicht, welcher eine Ent- schädigungspflicht der Privatklägerschaft vorsieht. Unter bestimmten Vorausset- zungen könnte der Staat jedoch Rückgriff auf die Privatklägerschaft nehmen (Art. 420 StPO; vgl. auch BGE 142 IV 237 E. 1.3.3 S. 242 f. mit Hinweisen).</w:t>
      </w:r>
    </w:p>
    <w:p>
      <w:r>
        <w:rPr>
          <w:b/>
        </w:rPr>
        <w:t>E. 2.3</w:t>
      </w:r>
    </w:p>
    <w:p>
      <w:r>
        <w:t>Nach der bundesgerichtlichen Rechtsprechung kann auf das Erfordernis des aktu- ellen Rechtsschutzinteresses aber ausnahmsweise verzichtet werden, wenn sich die aufgeworfenen Fragen unter gleichen oder ähnlichen Umständen jederzeit wie- der stellen können, eine rechtzeitige Überprüfung im Einzelfall kaum je möglich wä- re und die Beantwortung der Fragen wegen der grundsätzlichen Bedeutung im öf- fentlichen Interesse liegt (BGE 142 I 135 E. 1.3.1 S. 143 mit Hinweisen). Wann die Voraussetzungen für eine Hausdurchsuchung gegeben sind bzw. ob diese im vor- liegenden Fall vorgelegen haben, ist keine Frage von grundsätzlicher Bedeutung. Der Beschwerdeführer macht denn auch mit keinem Wort geltend, dass sich bei der Beurteilung der Hausdurchsuchung klar umschriebene, ganz spezifische Rechtsfragen grundlegender Art stellen, die sich entweder im laufenden Strafver- fahren oder aber in beliebigen Straffällen wiederholen könnten. Obwohl die recht- zeitige Überprüfung einer Hausdurchsuchung im Einzelfall kaum je möglich ist, fehlt es hier an der grundsätzlichen Bedeutung und am entsprechenden hinreichenden öffentlichen Interesse (vgl. Urteil des Bundesstrafgerichts BB.2008.50 / BB.2008.51 vom 8. Oktober 2008 E. 3.2).</w:t>
      </w:r>
    </w:p>
    <w:p>
      <w:r>
        <w:rPr>
          <w:b/>
        </w:rPr>
        <w:t>E. 2.4</w:t>
      </w:r>
    </w:p>
    <w:p>
      <w:r>
        <w:t>Weiter ist gemäss bundesgerichtlicher Rechtsprechung vom aktuellen praktischen Interesse abzusehen, wenn durch die Konvention zum Schutze der Menschenrech- te und Grundfreiheiten (EMRK; SR 0.101) geschützte Ansprüche zur Diskussion</w:t>
      </w:r>
    </w:p>
    <w:p>
      <w:r>
        <w:rPr>
          <w:b/>
        </w:rPr>
        <w:t>E. 2.5</w:t>
      </w:r>
    </w:p>
    <w:p>
      <w:r>
        <w:t>Nach dem Gesagten ist betreffend die Beschwerde gegen die Verfügung vom</w:t>
      </w:r>
    </w:p>
    <w:p>
      <w:r>
        <w:rPr>
          <w:b/>
        </w:rPr>
        <w:t>E. 3</w:t>
      </w:r>
    </w:p>
    <w:p>
      <w:r>
        <w:t>(Eröffnungsformel) Am gleichen Tag erliess die Staatsanwaltschaft auch den separaten Hausdurchsu- chungsbefehl.</w:t>
      </w:r>
    </w:p>
    <w:p>
      <w:r>
        <w:rPr>
          <w:b/>
        </w:rPr>
        <w:t>E. 4</w:t>
      </w:r>
    </w:p>
    <w:p>
      <w:r>
        <w:t>stehen. Dazu wird jedoch vorausgesetzt, dass die beschwerdeführende Person in vertretbarer Weise («griefs défendables») die Verletzung von Garantien der EMRK rügt (BGE 139 I 206 E. 1.2.1 S. 209 mit Hinweisen). Im vorliegenden Fall rügt der Beschwerdeführer keine Verletzung der Bestimmungen der EMRK.</w:t>
      </w:r>
    </w:p>
    <w:p>
      <w:r>
        <w:rPr>
          <w:b/>
        </w:rPr>
        <w:t>E. 9</w:t>
      </w:r>
    </w:p>
    <w:p>
      <w:r>
        <w:t>Oktober 2019 ein Nichteintretensentscheid zu fällen. 3. Gemäss Art. 428 Abs. 1 StPO tragen die Parteien die Kosten des Rechtsmittelver- fahren nach Massgabe ihres Obsiegens oder Unterliegens. Als unterliegend gilt auch jene Partei, auf deren Rechtsmittel nicht eingetreten wird. Die Kosten des Be- schwerdeverfahrens, bestimmt auf CHF 600.00, sind somit dem Beschwerdeführer aufzuerlegen.</w:t>
      </w:r>
    </w:p>
    <w:p>
      <w:r>
        <w:t>5 Die Beschwerdekammer in Strafsachen beschliesst: 1. Auf die Beschwerde wird nicht eingetreten. 2. Die Kosten des Beschwerdeverfahrens, bestimmt auf CHF 600.00, werden dem Be- schwerdeführer auferlegt. 3. Zu eröffnen: - dem Beschuldigten/Beschwerdeführer - der Generalstaatsanwaltschaft Mitzuteilen: - der Kantonalen Staatsanwaltschaft für Wirtschaftsdelikte, Staatsanwältin D.________ (mit den Akten) Bern, 13. November 2019 Im Namen der Beschwerdekammer in Strafsachen Die Präsidentin: Oberrichterin Schnell Die Gerichtsschreiberin: Peng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Art. 78 ff. und Art. 90 ff. des Bundesge- 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