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456 vom 3. Januar 2020</w:t>
      </w:r>
    </w:p>
    <w:p>
      <w:r>
        <w:t>BE Obergericht, 2020-01-03, DE</w:t>
      </w:r>
    </w:p>
    <w:p>
      <w:r>
        <w:rPr>
          <w:b/>
        </w:rPr>
        <w:t xml:space="preserve">Quelle: </w:t>
      </w:r>
      <w:r>
        <w:t>https://mcp.opencaselaw.ch/entscheid/be_zivilstraf_BK_2019_456</w:t>
      </w:r>
    </w:p>
    <w:p>
      <w:r>
        <w:t>FR: BE_ZIVILSTRAF BK 2019 456 du 3 janvier 2020</w:t>
      </w:r>
    </w:p>
    <w:p>
      <w:r>
        <w:t>IT: BE_ZIVILSTRAF BK 2019 456 del 3 gennaio 2020</w:t>
      </w:r>
    </w:p>
    <w:p>
      <w:pPr>
        <w:pStyle w:val="Heading2"/>
      </w:pPr>
      <w:r>
        <w:t>Regeste</w:t>
      </w:r>
    </w:p>
    <w:p>
      <w:r>
        <w:t>Einstellung Strafverfahren wegen übler Nachrede, Beschimpfung, Drohung und Nötigung | Einstellung/Nichtanhandnahme</w:t>
      </w:r>
    </w:p>
    <w:p>
      <w:pPr>
        <w:pStyle w:val="Heading2"/>
      </w:pPr>
      <w:r>
        <w:t>Erwägungen</w:t>
      </w:r>
    </w:p>
    <w:p>
      <w:r>
        <w:rPr>
          <w:b/>
        </w:rPr>
        <w:t>E. 1</w:t>
      </w:r>
    </w:p>
    <w:p>
      <w:r>
        <w:t>Am 30. September 2019 stellte die Regionale Staatsanwaltschaft Berner Jura- Seeland (nachfolgend: Staatsanwaltschaft) das Verfahren gegen A.________ (nachfolgend: Beschuldigte) wegen übler Nachrede, Beschimpfung, Drohung und Nötigung ein, verwies die Zivilklagen auf den Zivilweg und auferlegte die Verfah- renskosten dem Kanton. Dagegen erhob die Straf- und Zivilklägerin C.________ (nachfolgend: Beschwerdeführerin) am 20. Oktober 2019 Beschwerde. Mit Stel- lungnahme vom 4. November 2019 beantragte die Generalstaatsanwaltschaft die kostenfällige Abweisung der Beschwerde. Die Beschuldigte liess sich nicht ver- nehmen. Innert Frist hat die Beschwerdeführerin keine Replik eingereicht.</w:t>
      </w:r>
    </w:p>
    <w:p>
      <w:r>
        <w:rPr>
          <w:b/>
        </w:rPr>
        <w:t>E. 2</w:t>
      </w:r>
    </w:p>
    <w:p>
      <w:r>
        <w:t>Gegen Einstellungsverfügungen der Staatsanwaltschaft kann bei der Beschwerde- kammer in Strafsachen innert zehn Tagen schriftlich und begründet Beschwerde geführt werden (Art. 322 Abs. 2, Art. 393 Abs. 1 Bst. a i.V.m. Art. 396 Abs. 1 der Strafprozessordnung [StPO; SR 312], Art. 35 des Gesetzes über die Organisation der Gerichtsbehörden und der Staatsanwaltschaft [GSOG; BSG 161.1] i.V.m. Art. 29 Abs. 2 des Organisationsreglements des Obergerichts [OrR OG; BSG 162.11]). Die Beschwerdeführerin ist durch die Einstellungsverfügung unmittelbar in ihren rechtlich geschützten Interessen betroffen und zur Beschwerdeführung legitimiert (Art. 382 Abs. 1 StPO). Auf die form- und fristgerechte Beschwerde ist einzutreten.</w:t>
      </w:r>
    </w:p>
    <w:p>
      <w:r>
        <w:rPr>
          <w:b/>
        </w:rPr>
        <w:t>E. 3</w:t>
      </w:r>
    </w:p>
    <w:p>
      <w:r>
        <w:t>halten worden sein soll. Sie hat zudem wohl nicht erkannt, dass sich die Staatsanwaltschaft in ihrer Verfügung nicht materiell zu denjenigen Sachverhalten geäussert hat, die ausserhalb der Antragsfrist und damit zu spät angezeigt worden sind, weil die weitere Behandlung und Beurteilung dieser Taten formell nicht möglich ist. Entgegen den Vorbringen der Privatklägerin wird ihr diesbezüglich somit nicht unterstellt, sie hätte die Beschuldigten wider besseres Wissens («ohne wahre Hintergründe») angezeigt. Stattdessen ist weder erstellt noch ausgeschlossen, dass sich die Vorfälle so ereignet ha- ben, wie die Privatklägerin geltend macht. Schliesslich vermag die Privatklägerin in ihrer Stellung- nahme auch nicht darzulegen, inwiefern weiterführende Beweismassnahmen in Bezug auf die ange- zeigte Nötigung möglich und sachdienlich sein sollen. Aufgrund der Tatsache, dass sie eine Fristver- längerung und Akteneinsicht verlangt hat, wurde mehrfach erfolglos versucht, die Privatklägerin tele- fonisch zu erreichen, um ihr mitzuteilen, dass Akteneinsicht nur bei der Staatsanwaltschaft vor Ort gewährt werden könne. Die Privatklägerin, die im Übrigen bereits seit dem 24.05.2019 weiss, dass der Sachverhalt nicht ausreichend geklärt ist (vgl. Erklärung vom 24.05.2019), hat sich auch von sich aus nicht mehr bei der Staatsanwaltschaft gemeldet. Bis dato sind keine weiteren Beweisanträge oder eine ergänzende Stellungnahme eingegangen. Zusammenfassend sind die Verfahren BJS 18 9715 und BJS 18 9716 somit gestützt auf Art. 319 Abs. 1 Bst. a und d StPO einzustellen, zumal einerseits die Prozessvoraussetzungen nicht erfüllt sind (üble Nachrede, Beschimpfung und Drohung) und an- dererseits kein Tatverdacht erhärtet ist, der eine Anklage rechtfertigt (Nötigung).</w:t>
      </w:r>
    </w:p>
    <w:p>
      <w:r>
        <w:rPr>
          <w:b/>
        </w:rPr>
        <w:t>E. 4</w:t>
      </w:r>
    </w:p>
    <w:p>
      <w:r>
        <w:t>Die Beschwerdeführerin macht – zusammengefasst, soweit verständlich sowie im hiesigen Verfahren massgeblich (siehe auch BK 19 462) – geltend, die Delikte hät- ten bis im Juni 2018 angedauert, erst dann habe sie ihre Wohnung verlassen müs- sen. Gerade der Tatbestand, dass die Nötigung als umgesetzt und abgeschlossen betrachtet werden könne, sei erst im Juni 2018 erreicht worden. Mit dieser Nöti- gung sei für sie auf dem Spiel gestanden, ob sie obdachlos werde. Weiter stelle sich die Frage, ob es üblich sei, dass dem Kläger kein Protokoll der Anklageschrift sowie kein Protokoll der Anzeigeerstattung zur Verfügung gestellt werde. Ebenso bemängle sie die lange Bearbeitungszeit der Anzeige. Art. 327 StPO sei nicht er- füllt worden. Zudem sei entgegen Art. 327 Abs. 1 StPO der Beweisantrag vom</w:t>
      </w:r>
    </w:p>
    <w:p>
      <w:r>
        <w:rPr>
          <w:b/>
        </w:rPr>
        <w:t>E. 7</w:t>
      </w:r>
    </w:p>
    <w:p>
      <w:r>
        <w:t>Bei diesem Ausgang des Verfahrens wird die Beschwerdeführerin kostenpflichtig (Art. 428 Abs. 1 StPO). Entschädigungswürdige Nachteile sind keine entstanden.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