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BK 2019 437 vom 29. Oktober 2019</w:t>
      </w:r>
    </w:p>
    <w:p>
      <w:r>
        <w:t>BE Obergericht, 2019-10-29, FR</w:t>
      </w:r>
    </w:p>
    <w:p>
      <w:r>
        <w:rPr>
          <w:b/>
        </w:rPr>
        <w:t xml:space="preserve">Quelle: </w:t>
      </w:r>
      <w:r>
        <w:t>https://mcp.opencaselaw.ch/entscheid/be_zivilstraf_BK_2019_437</w:t>
      </w:r>
    </w:p>
    <w:p>
      <w:r>
        <w:t>FR: BE_ZIVILSTRAF BK 2019 437 du 29 octobre 2019</w:t>
      </w:r>
    </w:p>
    <w:p>
      <w:r>
        <w:t>IT: BE_ZIVILSTRAF BK 2019 437 del 29 ottobre 2019</w:t>
      </w:r>
    </w:p>
    <w:p>
      <w:pPr>
        <w:pStyle w:val="Heading2"/>
      </w:pPr>
      <w:r>
        <w:t>Regeste</w:t>
      </w:r>
    </w:p>
    <w:p>
      <w:r>
        <w:t>mesures de substitution à la détention pour motifs de sûreté | ZMG Haft (393-c)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f) Il est interdit au prévenu d’exercer une quelconque violence physique ou verbale au préjudice de ses enfants, de son épouse ou d’une tierce personne. 1.5 Le défenseur d’office de A.________ a recouru contre ladite décision par courrier posté le 11 octobre 2019 et parvenu à la Chambre de recours pénale le 14 octobre 2019. Ses conclusions sont les suivantes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