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331 vom 5. August 2019</w:t>
      </w:r>
    </w:p>
    <w:p>
      <w:r>
        <w:t>BE Obergericht, 2019-08-05, DE</w:t>
      </w:r>
    </w:p>
    <w:p>
      <w:r>
        <w:rPr>
          <w:b/>
        </w:rPr>
        <w:t xml:space="preserve">Quelle: </w:t>
      </w:r>
      <w:r>
        <w:t>https://mcp.opencaselaw.ch/entscheid/be_zivilstraf_BK_2019_331</w:t>
      </w:r>
    </w:p>
    <w:p>
      <w:r>
        <w:t>FR: BE_ZIVILSTRAF BK 2019 331 du 5 août 2019</w:t>
      </w:r>
    </w:p>
    <w:p>
      <w:r>
        <w:t>IT: BE_ZIVILSTRAF BK 2019 331 del 5 agosto 2019</w:t>
      </w:r>
    </w:p>
    <w:p>
      <w:pPr>
        <w:pStyle w:val="Heading2"/>
      </w:pPr>
      <w:r>
        <w:t>Regeste</w:t>
      </w:r>
    </w:p>
    <w:p>
      <w:r>
        <w:t>Ausstand | Ausstand (59)</w:t>
      </w:r>
    </w:p>
    <w:p>
      <w:pPr>
        <w:pStyle w:val="Heading2"/>
      </w:pPr>
      <w:r>
        <w:t>Erwägungen</w:t>
      </w:r>
    </w:p>
    <w:p>
      <w:r>
        <w:rPr>
          <w:b/>
        </w:rPr>
        <w:t>E. 1</w:t>
      </w:r>
    </w:p>
    <w:p>
      <w:r>
        <w:t>Mit Strafbefehl vom 8. März 2019 wurde A.________ (nachfolgend: Gesuchsteller) wegen Widerhandlung gegen das Strassenverkehrsgesetz durch Missbrauch von Ausweisen und Kontrollschildern (Nichtabgabe trotz behördlicher Aufforderung) schuldig erklärt. Er erhob dagegen am 21. März 2019 fristgerecht Einsprache. Nach Rückfrage beim Versicherer hielt die Regionale Staatsanwaltschaft Bern- Mittelland (nachfolgend: Staatsanwaltschaft) mit Verfügung vom 13. Juni 2019 am Strafbefehl fest und überwies die Akten zur Durchführung der Hauptverhandlung an das Regionalgericht Bern-Mittelland (nachfolgend: Regionalgericht). Das Geschäft wurde Gerichtspräsidentin C.________ zugeteilt. Diese lud mit Verfügung vom</w:t>
      </w:r>
    </w:p>
    <w:p>
      <w:r>
        <w:rPr>
          <w:b/>
        </w:rPr>
        <w:t>E. 3</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der Strafprozessordung [StPO; SR 312]). Zuständig für den Entscheid ist die Beschwerdekammer (Art. 59 Ziffer 1 Bst. b StPO). Die Prozessvoraussetzungen sind erfüllt. Auf das form- und fristge- rechte Ausstandsgesuch ist einzutreten.</w:t>
      </w:r>
    </w:p>
    <w:p>
      <w:r>
        <w:rPr>
          <w:b/>
        </w:rPr>
        <w:t>E. 4</w:t>
      </w:r>
    </w:p>
    <w:p>
      <w:r>
        <w:t>zig in Vertretung, weil Gerichtspräsidentin C.________ büroabwesend war. Das Ausstandsgesuch gegen Gerichtspräsidentin D.________ ist abzuweisen.</w:t>
      </w:r>
    </w:p>
    <w:p>
      <w:r>
        <w:rPr>
          <w:b/>
        </w:rPr>
        <w:t>E. 5.1</w:t>
      </w:r>
    </w:p>
    <w:p>
      <w:r>
        <w:t>Die verfassungsmässige Garantie von Art. 30 Abs. 1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Befangenheit bezeichnet eine innere Einstellung zu den Verfahrensbeteiligten oder zum Gegenstand des konkreten Verfahrens, welche die gebotene Distanz vermissen lässt und aus der heraus die Person sach- fremde Elemente einfliessen lässt mit der Folge, dass sie einen Verfahrensbeteilig- ten benachteiligt oder bevorzugt oder zumindest dazu neigt (BOOG, in: Basler Kommentar StPO, 2. Aufl. 2014, N. 7 vor Art. 56-60 StPO). Ob der Anschein von Befangenheit vorliegt, beurteilt sich ohne Rücksicht auf das subjektive Empfinden der Verfahrenspartei. Die strafprozessualen Bestimmungen über den Ausstand (Art. 56 StPO) konkretisieren die verfassungsmässigen Garantien gemäss Art. 30 (bzw. Art. 29) BV. Die in der Strafbehörde tätige Person hat unter anderem dann in den Ausstand zu treten, wenn sich eine Befangenheit aus «anderen Gründen, ins- besondere wegen Freundschaft oder Feindschaft mit einer Partei oder deren Rechtsbeistand» ableiten lässt.</w:t>
      </w:r>
    </w:p>
    <w:p>
      <w:r>
        <w:rPr>
          <w:b/>
        </w:rPr>
        <w:t>E. 5.2</w:t>
      </w:r>
    </w:p>
    <w:p>
      <w:r>
        <w:t>Das Ausstandsgesuch gegen Gerichtspräsidentin C.________ ist ebenfalls abzu- weisen. Es mag sein, dass die Formulierung «Der Beschuldigte liest ganz offen- sichtlich seine Post nicht richtig durch und hält sich dann halt auch nicht an die Auf- forderungen etwas zu tun und an Fristen» etwas scharf, salopp und zugespitzt ist. Nach objektiven Gesichtspunkten ist jedoch weder diese noch die Wortwahl «in solchen Fällen kaum Ermessensspielraum» geeignet, den Anschein von Befan- genheit bei Gerichtspräsidentin C.________ zu erwecken. Sie hat damit noch keine (Beweis-)Würdigung des Einzelfalls vorgenommen, sondern ausgedrückt, dass ge- stützt auf ihre langjährige Erfahrung als Gerichtspräsidentin das zuständige Gericht in ähnlichen Fällen kaum – aber nicht keinen – Ermessensspielraum habe. Es ist Gerichtspräsidentin C.________ mit anderen Worten immer noch möglich, den konkreten Fall neutral und unparteilich – mittels Würdigung der aktenkundigen Do- kumente sowie der Argumente des Gesuchstellers wohl insbesondere dazu, dass er seine Post durchaus bearbeite – zu beurteilen. Dies hat sie auch selber bekräf- tigt. Dass sie angeblich «genervt» gewesen sein soll, kann aus Ziffer 9 der Vorla- dungsverfügung nicht herausgelesen werden. Des Weiteren ist es bloss konse- quent und richtig, dass Gerichtspräsidentin C.________ im Moment des Verfas- sens der Vorladungsverfügung «von den bisher vorhandenen Akten» ausgegangen ist. Gesetzeswidrig wäre ihr Vorgehen vielmehr dann gewesen, wenn sie sich von Umständen ausserhalb der Akten hätte leiten lassen. Eine Vorverurteilung – dass sie sich also in dieser Sache bereits ein endgültiges Urteil gebildet hätte – vermag die Beschwerdekammer nicht zu erkennen. Auch sonst ergeben sich aus den Ak- ten keine Anzeichen für eine mögliche Befangenheit (oder den Anschein danach) von Gerichtspräsidentin C.________.</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