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BE_ZIVILSTRAF BK 2019 30 vom 12. Juni 2018</w:t>
      </w:r>
    </w:p>
    <w:p>
      <w:r>
        <w:t>BE Obergericht, 2018-06-12, DE</w:t>
      </w:r>
    </w:p>
    <w:p>
      <w:r>
        <w:rPr>
          <w:b/>
        </w:rPr>
        <w:t xml:space="preserve">Quelle: </w:t>
      </w:r>
      <w:r>
        <w:t>https://mcp.opencaselaw.ch/entscheid/be_zivilstraf_BK_2019_30</w:t>
      </w:r>
    </w:p>
    <w:p>
      <w:r>
        <w:t>FR: BE_ZIVILSTRAF BK 2019 30 du 12 juin 2018</w:t>
      </w:r>
    </w:p>
    <w:p>
      <w:r>
        <w:t>IT: BE_ZIVILSTRAF BK 2019 30 del 12 giugno 2018</w:t>
      </w:r>
    </w:p>
    <w:p>
      <w:pPr>
        <w:pStyle w:val="Heading2"/>
      </w:pPr>
      <w:r>
        <w:t>Regeste</w:t>
      </w:r>
    </w:p>
    <w:p>
      <w:r>
        <w:t>Neubeurteilung Verlängerung der Massnahme gemäss Art. 59. Abs. 4 StGB | Straf- und Massnahmenvollzug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Am 16. Februar 2018 stellten die Bewährungs- und Vollzugsdienste (nachfolgend: BVD) beim Regionalgericht einen Antrag auf Verlängerung der Massnahme gemäss Art. 59 Abs. 4 StGB gegen den Beschwerdeführer. Das Regionalgericht Bern-Mittelland (nachfolgend: Regionalgericht) verlängerte in seinem Entscheid vom 12. Juni 2018 die gegen den Verurteilten angeordnete stationäre psychothe- rapeutische Massnahme gemäss Art. 59 Abs. 4 StGB um fünf Jahre, rückwirkend ab 2. Oktober 2017 (Ziffer 1). Am 22. Juni 2018 reichte der Verurteilte, amtlich ver- treten durch Rechtsanwältin B.________, Beschwerde ein. Er beantragte, der Ent- scheid des Regionalgerichts sei aufzuheben und die Verlängerung um fünf Jahre abzulehnen, alle Kosten, inkl. Honorar der amtlichen Verteidigung, seien vom Kan- ton zu tragen. Weiter sei ihm die unentgeltliche Rechtspflege zu gewähren und Rechtsanwältin B.________ als amtliche Verteidigerin zu ernennen. Am 2. Juli 2018 verfügte die Verfahrensleitung der Beschwerdekammer in Strafsachen des Obergerichts des Kantons Bern (nachfolgend: Beschwerdekammer), dass die vor- instanzlich gewährte amtliche Verteidigung auch für das Beschwerdeverfahren gel- te. Am 12. September 2018 fällte das Obergericht des Kantons Bern folgenden Be- schluss (BK 18 268):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