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241 vom 1. Mai 2019</w:t>
      </w:r>
    </w:p>
    <w:p>
      <w:r>
        <w:t>BE Obergericht, 2019-05-01, DE</w:t>
      </w:r>
    </w:p>
    <w:p>
      <w:r>
        <w:rPr>
          <w:b/>
        </w:rPr>
        <w:t xml:space="preserve">Quelle: </w:t>
      </w:r>
      <w:r>
        <w:t>https://mcp.opencaselaw.ch/entscheid/be_zivilstraf_BK_2019_241</w:t>
      </w:r>
    </w:p>
    <w:p>
      <w:r>
        <w:t>FR: BE_ZIVILSTRAF BK 2019 241 du 1 mai 2019</w:t>
      </w:r>
    </w:p>
    <w:p>
      <w:r>
        <w:t>IT: BE_ZIVILSTRAF BK 2019 241 del 1 maggio 2019</w:t>
      </w:r>
    </w:p>
    <w:p>
      <w:pPr>
        <w:pStyle w:val="Heading2"/>
      </w:pPr>
      <w:r>
        <w:t>Regeste</w:t>
      </w:r>
    </w:p>
    <w:p>
      <w:r>
        <w:t>Verfahrenskosten/Entschädigung bei Einstellung | Einstellung/Nichtanhandnahme</w:t>
      </w:r>
    </w:p>
    <w:p>
      <w:pPr>
        <w:pStyle w:val="Heading2"/>
      </w:pPr>
      <w:r>
        <w:t>Erwägungen</w:t>
      </w:r>
    </w:p>
    <w:p>
      <w:r>
        <w:rPr>
          <w:b/>
        </w:rPr>
        <w:t>E. 1</w:t>
      </w:r>
    </w:p>
    <w:p>
      <w:r>
        <w:t>Mit Verfügung vom 1. Mai 2019 stellte die Regionale Staatsanwaltschaft Berner Jura-Seeland (nachfolgend: Staatsanwaltschaft) ein gegen A.________ geführtes Verfahren wegen Tätlichkeiten und Drohung ein. Die Verfahrenskosten wurden A.________ auferlegt. Auf die Ausrichtung einer Entschädigung oder Genugtuung wurde verzichtet (Ziff. 4 und 5 der Verfügung). Gegen die Kosten- und Entschädi- gungsfolgen setzte sich A.________ (nachfolgend: Beschwerdeführer) mit Be- schwerde vom 17. April 2019 zur Wehr. Konkret stellte er folgende Rechtsbegeh- ren: «1. Die Verfügung der Staatsanwaltschaft Berner Jura - Seeland vom 01. Mai 2019 sei bezüglich Zif- fer 4 und 5 aufzuheben und die Verfahrenskosten des Vorverfahrens in der Höhe von CHF 300.00 seien vom Kanton Bern zu tragen und dem Beschwerdeführer sei eine Entschädigung in der Höhe von CHF 2'953.95 auszurichten;</w:t>
      </w:r>
    </w:p>
    <w:p>
      <w:r>
        <w:rPr>
          <w:b/>
        </w:rPr>
        <w:t>E. 2</w:t>
      </w:r>
    </w:p>
    <w:p>
      <w:r>
        <w:t>Eventualiter zu Ziff. 1 sei die Verfügung der Staatsanwaltschaft Berner Jura — Seeland vom 01. Mai 2019 bezüglich Ziffer 4 und 5 aufzuheben und zum neuen Entscheid an die Vorinstanz zurückzuweisen;</w:t>
      </w:r>
    </w:p>
    <w:p>
      <w:r>
        <w:rPr>
          <w:b/>
        </w:rPr>
        <w:t>E. 3</w:t>
      </w:r>
    </w:p>
    <w:p>
      <w:r>
        <w:t>tung einer Entschädigung von CHF 2‘953.95. Damit fällt der vorliegende Beschluss unter die Bestimmung von Art. 395 Bst. b StPO und wird von der Verfahrensleitung allein gefällt.</w:t>
      </w:r>
    </w:p>
    <w:p>
      <w:r>
        <w:rPr>
          <w:b/>
        </w:rPr>
        <w:t>E. 4</w:t>
      </w:r>
    </w:p>
    <w:p>
      <w:r>
        <w:t>Der Ursprung des gegen den Beschwerdeführer geführten Strafverfahrens liegt in seiner Beziehung zu D.________, welche im Mai 2018 beendet wurde. Die beiden haben einen gemeinsamen Sohn, geboren am 11. Juni 2017. Die Beziehung war geprägt von Streitigkeiten und es kam zu gegenseitigen Strafanzeigen wegen häuslicher Gewalt (Tätlichkeit, Drohung, Beschimpfung und Nötigung). Die gegen den Beschwerdeführer erhobenen Vorwürfe lauteten laut Anzeigerapport dahinge- hend, D.________ alle ein bis zwei Monate mit Faust- und Fussschlägen traktiert, sie einmal gewürgt und sie zweimal aufs Bett gedrückt und ihr dabei den Mund mit einem Kissen zugedrückt zu haben. Weiter habe er sie immer wieder per E-Mail und SMS bedroht. Am 13. August 2018 schlossen die ehemaligen Lebenspartner vor der Schlichtungsbehörde einen Vergleich ab, wobei sie insbesondere ihre ge- genseitigen Strafanträge zurückzogen und die Sistierung des Strafverfahrens gemäss Art. 55a des Schweizerischen Strafgesetzbuches (StGB; SR 311.0) bean- tragten. Die anschliessende Verfahrenseinstellung erfolgte in Anwendung von Art. 55a Abs. 3 StGB.</w:t>
      </w:r>
    </w:p>
    <w:p>
      <w:r>
        <w:rPr>
          <w:b/>
        </w:rPr>
        <w:t>E. 5</w:t>
      </w:r>
    </w:p>
    <w:p>
      <w:r>
        <w:t>Die Staatsanwaltschaft stützte sich in der angefochtenen Verfügung in erster Linie auf die Aussagen von D.________ und den von ihr zu den Akten gereichten Arzt- bericht vom 17. Oktober 2017. Aus diesen Beweismitteln schloss die Staatsanwalt- schaft, dass es zwischen den Lebenspartnern mehrfach zu Streitereien und gegen- seitigen Tätlichkeiten, Drohungen oder Nötigungshandlungen gekommen sei. Dass der Beschwerdeführer sich dabei wie von ihm behauptet völlig passiv verhalten ha- be, sei nicht glaubhaft. Laut Arztbericht habe D.________ ihrer Hausärztin ge- genüber von häuslicher Gewalt berichtet. Diese habe ihr auch ein Hämatom am Fuss diagnostiziert. Zudem seien auf zahlreichen Fotos in den Akten bei D.________ Verletzungen zu sehen, die mit den geschilderten Auseinanderset- zungen jedenfalls vereinbar wären. Es könne als erwiesen erachtet werden, dass es tatsächlich zu solchen Tätlichkeiten gekommen sei. Schliesslich habe D.________ E-Mails des Beschwerdeführers vorgelegt, deren Inhalt durchaus als drohend bezeichnet werden könne. Diese Drohungen und die körperlichen Ausein- andersetzungen würden die nötige Intensität aufweisen, um als Beeinträchtigung der Persönlichkeit im Sinne von Art. 28 des Schweizerischen Zivilgesetzbuches (ZGB; SR 210) zu gelten.</w:t>
      </w:r>
    </w:p>
    <w:p>
      <w:r>
        <w:rPr>
          <w:b/>
        </w:rPr>
        <w:t>E. 6</w:t>
      </w:r>
    </w:p>
    <w:p>
      <w:r>
        <w:t>Dagegen wendet der Beschwerdeführer ein, die Vorwürfe von D.________ vehe- ment bestritten zu haben. Es würden keine Beweise dafür vorliegen, dass er tätlich gegen seine ehemalige Partnerin vorgegangen sei. Insbesondere würden die Foto- aufnahmen in den Akten keinen solchen Beweis darstellen. Die angeblich drohen- den Äusserungen per E-Mail seien im Kontext der Auseinandersetzung um das Besuchsrecht des gemeinsamen Sohnes zu sehen. Der Beschwerdeführer habe D.________ mit diesen Nachrichten lediglich mitgeteilt, dass er sich die Enthaltung seines Kindes nicht gefallen lassen werde. Er habe ihr aber nichts Übles antun oder androhen wollen. Bei den fraglichen Nachrichten handle es sich somit nicht</w:t>
      </w:r>
    </w:p>
    <w:p>
      <w:r>
        <w:t>4 um Drohungen im Sinne des StGB. Indem die Staatsanwaltschaft ausführe, es sei nur aufgrund der abgeschlossenen Vereinbarung zu keiner Verurteilung des Be- schwerdeführers gekommen, werfe sie ihm indirekt vor, sich strafbar gemacht zu haben und verletze damit die Unschuldsvermutung. Zivilrechtlich relevante schuld- hafte Anlasstaten würden nicht vorliegen, womit die verfügten Kostenfolgen un- rechtmässig seien.</w:t>
      </w:r>
    </w:p>
    <w:p>
      <w:r>
        <w:rPr>
          <w:b/>
        </w:rPr>
        <w:t>E. 7</w:t>
      </w:r>
    </w:p>
    <w:p>
      <w:r>
        <w:t>Dem Grundsatz nach sind die Verfahrenskosten vom Staat zu tragen (Art. 423 Abs. 1 StPO). Wird eine beschuldigte Person freigesprochen, können ihr die Verfah- renskosten ganz oder teilweise auferlegt werden, wenn sie rechtswidrig und schuldhaft die Einleitung des Verfahren bewirkt oder dessen Durchführung er- schwert hat (Art. 426 Abs. 2 StPO). Aus denselben Gründen kann eine Entschädi- gung oder eine Genugtuung herabgesetzt oder verweigert werden (Art. 430 Abs. 1 Bst. a StPO). Der bundesgerichtlichen Rechtsprechung lässt sich dazu folgendes entnehmen (Urteil des Bundesgerichts 1B_12/2012 vom 20. Februar 2012 E. 2.2): «Nach der Rechtsprechung des Bundesgerichts zu Art. 32 Abs. 1 BV und Art. 6 Ziff. 2 EMRK dürfen einem Angeschuldigten bei Freispruch oder Einstellung des Verfahrens nur dann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 ne Haftung für ein strafrechtliches Verschulden, sondern um eine zivilrechtlichen Grundsätzen an- genäherte Haftung für ein fehlerhaftes Verhalten, durch das die Einleitung oder Erschwerung eines Strafverfahrens verursacht wurde (BGE 119 Ia 332 E. 1b S. 334; Pra 2008 Nr. 34 E. 4.2). Wie das Bundesgericht festgehalten hat, ist es mit Art. 32 Abs. 1 BV und Art. 6 Ziff. 2 EMRK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(BGE 119 Ia 332 E. 1b S. 334; 116 Ia 162 E. 2a S. 166; je mit Hinweisen). Dabei darf sich die Kostenauflage in tatsächlicher Hinsicht nur auf unbestrittene oder bereits klar nachgewiesene Umstände stützen (BGE 112 Ia 371 E. 2a; Pra 2010 Nr. 48 S. 351 nicht publ. E. 1.2). Hingegen ver- stösst eine Kostenauflage bei Freispruch oder Einstellung des Strafverfahrens gegen den Grundsatz der Unschuldsvermutung, wenn dem Angeschuldigten in der Begründung des Kostenentscheids di- rekt oder indirekt vorgeworfen wird, er habe sich strafbar gemacht bzw. es treffe ihn ein strafrechtli- ches Verschulden (BGE 120 Ia 147 E. 3b S. 155; Urteil 6B_86/2009 vom 29. Oktober 2009 E. 9.3).»</w:t>
      </w:r>
    </w:p>
    <w:p>
      <w:r>
        <w:rPr>
          <w:b/>
        </w:rPr>
        <w:t>E. 8</w:t>
      </w:r>
    </w:p>
    <w:p>
      <w:r>
        <w:t>Wie der Beschwerdeführer zu Recht geltend macht, sind die Umstände rund um die angeblich von ihm begangenen Tätlichkeiten weder unbestritten noch klar nachgewiesen. Es ist zwar denkbar, dass es während der Streitereien zu körperli- chen Übergriffen des Beschuldigten auf D.________ gekommen ist. Die Fotoauf- nahmen, die sich in den Akten befinden, lassen aber keine eindeutigen Schlüsse darüber zu, woher die Verletzungen auf den Bildern stammen und beweisen erst recht nicht, dass der Beschwerdeführer deren Urheber ist. Die diesbezüglichen Aussagen von ihm und D.________ sind widersprüchlich. Weitere Untersuchungen wurden von der Staatsanwaltschaft nicht vorgenommen. Es kann daher nicht als erstellt gelten, dass der Beschwerdeführer tätlich gegen seine Lebenspartnerin</w:t>
      </w:r>
    </w:p>
    <w:p>
      <w:r>
        <w:t>5 vorgegangen ist, womit eine Kostenauflage im Zusammenhang mit diesen Vorwür- fen allein nicht rechtens ist.</w:t>
      </w:r>
    </w:p>
    <w:p>
      <w:r>
        <w:rPr>
          <w:b/>
        </w:rPr>
        <w:t>E. 9</w:t>
      </w:r>
    </w:p>
    <w:p>
      <w:r>
        <w:t>Anders präsentiert sich die Situation im Zusammenhang mit den Drohungen. Hier- zu liegen als objektive Beweismittel Fotos eines Mobiltelefons in den Akten, auf dem die besagten E-Mail-Nachrichten zu lesen sind. In einer ersten Nachricht schrieb der Beschwerdeführer (kursiv = übersetzte Passagen): «du geisch sowieso go schaffe und warte bis du go schaffe geisch glaub mir meinen Sohn kannst du mir nicht aufhalten du verdammts miststück..mi sohn verbietisch du mir nid zg- seh..du hast einen grossen Fehler gemacht dass du deine Mutter hierher geholt hast». In einer weiteren Nachricht steht: «Glaub mir du gibst mir meinen Sohn da- mit ich ihn hüten kann an diesen Tagen an welchen du arbeiten gehst ich schwöre dir verlüri langsam mini geduld a..dann sag ich dir D.________ verlüri mini geduld ich sage dir dass sonst wirst du es sehr schlimm spüren.» In ihrer Stellungnahme meint die Generalstaatsanwaltschaft dazu: «Diese Nachrichten sind objektiv durchaus geeignet, jemanden in Angst und Schrecken zu versetzen und diesen in seinem seelischen Wohlbefinden zu gefährden bzw. erheblich zu stören, geht es hier nicht zuletzt auch um das Wohl eines zehn Monate alten Kindes. Der Beschwerdeführer lässt D.________ in der ersten Nachricht glauben, er werde sich den Sohn holen, sobald sie zur Arbeit aufbrechen werde. In der zweiten Nachricht droht er seiner Ex-Partnerin schwere psychische oder physische Gewalt an, wenn sie ihm den Sohn nicht übergibt. Diese Nachrichten lassen sich nicht da- mit bagatellisieren, dass sie im Zusammenhang mit der Besuchsrechtsauseinandersetzung verfasst worden seien oder dass der Beschwerdeführer sie ohne Vorsatz verfasst haben soll (Beschwerde Ziff. 18). Bezeichnenderweise gestand der Beschwerdeführer anlässlich seiner Einvernahme – unter Vor- halt der entsprechenden Nachrichten – selber ein, dass diese von der Partnerin wohl als Drohung aufgenommen worden seien (Z. 117 f.).» Die Beschwerdekammer teilt diese Auffassung. Was der Beschwerdeführer dage- gen vorbringt, verfängt nicht. Zwar mag D.________ sein Verhalten durch das Nichteinhalten von Abmachungen bezüglich des Besuchsrechts provoziert haben und seine Wut und Enttäuschung darüber scheint verständlich. Dies vermag aber nicht darüber hinwegzutäuschen, dass die Nachrichten einen eindeutig drohenden Ton aufweisen. Auch aus objektiver Sicht vermitteln sie den Eindruck, dass der Adressatin nicht näher definierte, aber ernst zu nehmende Nachteile in Aussicht gestellt werden, sollte der Beschwerdeführer seinen Sohn nicht sehen können. Die offene Formulierung steht einer solchen Interpretation keineswegs entgegen. Ob es zuvor schon zu körperlicher Gewalt durch den Beschwerdeführer gekommen ist, spielt keine Rolle. Selbst wenn dies nicht der Fall gewesen ist, können die Nach- richten durchaus so verstanden werden, dass D.________ mit Tätlichkeiten zu rechnen hat, wenn sie sich dem Beschwerdeführer nicht fügt. Somit stellen die Nachrichten einen nicht zu verharmlosenden Angriff auf die persönliche Integrität von D.________ dar und stehen damit im Widerspruch zur schweizerischen Rechtsordnung. Die Einleitung des Strafverfahrens gründete folglich auf einem er- wiesenen und zivilrechtlich vorwerfbaren Verhalten des Beschwerdeführers. Damit sind die Voraussetzungen von Art. 426 Abs. 2 und Art. 430 Abs. 1 Bst. a StPO er- füllt. Es rechtfertigt sich, den Beschwerdeführer zur Tragung der vorinstanzlichen Verfahrenskosten zu verpflichten und ihm für das besagte Verfahren keine Ent-</w:t>
      </w:r>
    </w:p>
    <w:p>
      <w:r>
        <w:t>6 schädigung und keine Genugtuung auszurichten. Die gegen die Kosten- und Ent- schädigungsfolgen erhobene Beschwerde wird abgewiesen.</w:t>
      </w:r>
    </w:p>
    <w:p>
      <w:r>
        <w:rPr>
          <w:b/>
        </w:rPr>
        <w:t>E. 10</w:t>
      </w:r>
    </w:p>
    <w:p>
      <w:r>
        <w:t>Im Weiteren moniert der Beschwerdeführer eine Verletzung seines Anspruchs auf rechtliches Gehör. Die Staatsanwaltschaft habe in der angefochtenen Verfügung pauschal festgehalten, die von der Verteidigung mit Eingabe vom 24. Februar 2019 vorgebrachten Einwände gegen die Kostenauflage würden am festgestellten rechtswidrigen und zivilrechtlich schuldhaften Verhalten des Beschwerdeführers nichts ändern. Indem sie auf die besagten Einwände nicht näher eingegangen sei, habe die Staatsanwaltschaft ihre Begründungspflicht verletzt. Gemäss ständiger bundesgerichtlicher Rechtsprechung verlangt der Anspruch auf rechtliches Gehör nicht, dass sich eine Behörde in ihrem Entscheid einlässlich mit allen Parteistandpunkten auseinandersetzt und jedes einzelne Vorbringen aus- drücklich widerlegt. Sie kann sich auf die für den Entscheid wesentlichen Punkte beschränken. Dem Anspruch auf eine Begründung ist Genüge getan, wenn der Be- troffene über die Tragweite des Entscheids Rechenschaft erhält und ihn in voller Kenntnis der Sache an die höhere Instanz weiterziehen kann (BGE 141 IV 249 E. 1.3.1; 141 III 28 E. 3.2.4; 139 IV 179 E. 2.2; 138 I 232 E. 5.1; je mit Hinweisen). Die Staatsanwaltschaft hat hinlänglich dargelegt, welches Verhalten des Be- schwerdeführers sie als erwiesen erachtete und weshalb sie dieses als Anlass für die Kostenverlegung nahm. Damit ist sie ihrer Begründungspflicht nachgekommen. Sie war nicht gehalten, sich mit allen Einwänden des Beschwerdeführers im Ein- zelnen auseinanderzusetzen. Die Rüge der Gehörsverletzung ist damit unbegrün- det.</w:t>
      </w:r>
    </w:p>
    <w:p>
      <w:r>
        <w:rPr>
          <w:b/>
        </w:rPr>
        <w:t>E. 11</w:t>
      </w:r>
    </w:p>
    <w:p>
      <w:r>
        <w:t>Bei diesem Verfahrensausgang sind die Verfahrenskosten, bestimmt auf CHF 1‘200.00, vom Beschwerdeführer zu bezahlen (Art. 428 Abs. 1 StPO).</w:t>
      </w:r>
    </w:p>
    <w:p>
      <w:r>
        <w:rPr>
          <w:b/>
        </w:rPr>
        <w:t>E. 12</w:t>
      </w:r>
    </w:p>
    <w:p>
      <w:r>
        <w:t>Das amtliche Honorar des Verteidigers für das Beschwerdeverfahren wird entspre- chend der von Rechtsanwalt B.________ eingereichten Kostennote bestimmt. Der geltend gemachte Aufwand von 9.42 Stunden (8.75 Stunden Aufwand des Rechts- anwalts, 0.67 Stunden Aufwand eines Praktikanten resp. einer Praktikantin) sowie die Auslagen von CHF 108.50 scheinen angemessen. Der Stundenansatz für amt- lich bestellte Anwälte beträgt CHF 200.00 (Art. 1 der Verordnung über die Entschä- digung der amtlichen Anwältinnen und Anwälte [EAV; BSG 168.711]). Arbeiten, die durch Rechtspraktikanten ausgeführt werden, sind in der Regel zum halben Stun- denansatz zu entschädigen (Ziff. 1.2 des Kreisschreibens Nr. 15 des Obergerichts des Kantons Bern vom 25. November 2016). Damit wird der Aufwand von Rechts- anwalt B.________ mit CHF 1‘817.00 entschädigt. Zuzüglich Auslagen und MWST ergibt dies ein amtliches Honorar von total CHF 2‘073.75. Das volle Honorar beläuft sich auf CHF 2‘563.00 (inkl. Auslagen und MWST). Der Beschwerdeführer hat dem Kanton Bern die für das Beschwerdeverfahren ausgerichtete Entschädigung von CHF 2‘073.75 zurückzuzahlen und dem amtlichen Verteidiger die Differenz zwi- schen der amtlichen Entschädigung und dem vollen Honorar, ausmachend CHF 489.25, zu erstatten, sobald es seine wirtschaftlichen Verhältnisse erlauben (Art. 135 Abs. 4 StPO).</w:t>
      </w:r>
    </w:p>
    <w:p>
      <w:r>
        <w:t>7 Die Verfahrensleitung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