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168 vom 23. April 2019</w:t>
      </w:r>
    </w:p>
    <w:p>
      <w:r>
        <w:t>BE Obergericht, 2019-04-23, DE</w:t>
      </w:r>
    </w:p>
    <w:p>
      <w:r>
        <w:rPr>
          <w:b/>
        </w:rPr>
        <w:t xml:space="preserve">Quelle: </w:t>
      </w:r>
      <w:r>
        <w:t>https://mcp.opencaselaw.ch/entscheid/be_zivilstraf_BK_2019_168</w:t>
      </w:r>
    </w:p>
    <w:p>
      <w:r>
        <w:t>FR: BE_ZIVILSTRAF BK 2019 168 du 23 avril 2019</w:t>
      </w:r>
    </w:p>
    <w:p>
      <w:r>
        <w:t>IT: BE_ZIVILSTRAF BK 2019 168 del 23 aprile 2019</w:t>
      </w:r>
    </w:p>
    <w:p>
      <w:pPr>
        <w:pStyle w:val="Heading2"/>
      </w:pPr>
      <w:r>
        <w:t>Regeste</w:t>
      </w:r>
    </w:p>
    <w:p>
      <w:r>
        <w:t>Anordnung Sicherheitshaft | Andere Verfügungen Gericht (393-b)</w:t>
      </w:r>
    </w:p>
    <w:p>
      <w:pPr>
        <w:pStyle w:val="Heading2"/>
      </w:pPr>
      <w:r>
        <w:t>Erwägungen</w:t>
      </w:r>
    </w:p>
    <w:p>
      <w:r>
        <w:rPr>
          <w:b/>
        </w:rPr>
        <w:t>E. 1.1</w:t>
      </w:r>
    </w:p>
    <w:p>
      <w:r>
        <w:t>Mit Urteil des Regionalgerichts Emmental-Oberaargau (Kollegialgericht) vom</w:t>
      </w:r>
    </w:p>
    <w:p>
      <w:r>
        <w:rPr>
          <w:b/>
        </w:rPr>
        <w:t>E. 1.2</w:t>
      </w:r>
    </w:p>
    <w:p>
      <w:r>
        <w:t>Im Anschluss an die mündliche Urteilseröffnung fand am 5. April 2019 die Verhand- lung betreffend Anordnung von Sicherheitshaft gemäss Art. 231 der Schweizeri- schen Strafprozessordnung (StPO; SR 312.0) statt (pag. 1002 ff.). Das Regionalge- richt versetzte den Beschwerdeführer mit Entscheid vom 5. April 2019 für die Dauer von vorerst sechs Monaten zur Sicherung des Strafvollzugs in Sicherheitshaft (pag. 1012 ff.). 2. Dagegen erhob der Beschwerdeführer, vertreten durch Fürsprecher B.________, am 9. April 2019 Beschwerde und stellte folgende Anträge: Die Anordnung der Sicherheitshaft durch das Regionalgericht Emmental-Oberaargau sei vollumfäng- lich aufzuheben und der Beschuldigte sei umgehend aus der Haft zu entlassen. Eventualiter: Der Entscheid des Regionalgerichts Emmental-Oberaargau vom 5. April 2019 sei aufzuheben und der Beschwerdeführer sei mit sofortiger Wirkung aus der Sicherheitshaft zu entlassen unter Auferlegung der Pflicht, seinen kosovarischen Pass bei der zuständigen Stelle in Deutschland zu hinterlegen sowie sich in regelmässigen Abständen auf dem örtlichen Polizeirevier zu melden. unter Kosten- und Entschädigungsfolge Mit Verfügung vom 10. April 2019 eröffnete das angerufene Obergericht des Kan- tons Bern ein Beschwerdeverfahren und gewährte der Generalstaatsanwaltschaft und dem Regionalgericht Gelegenheit zur Einreichung einer Stellungnahme bzw. Zustellung der amtlichen Akten. Für das Beschwerdeverfahren betraute die Gene- ralstaatsanwaltschaft Staatsanwalt F.________ mit der Wahrnehmung der staats- anwaltschaftlichen Aufgaben. In der Stellungnahme vom 11. April 2019 beantragte Staatsanwalt F.________ die kostenfällige Abweisung der Beschwerde. Auch das Regionalgericht stellte am 11. April 2019 den Antrag, die Beschwerde sei kostenfäl-</w:t>
      </w:r>
    </w:p>
    <w:p>
      <w:r>
        <w:t>3 lig abzuweisen. Der Beschwerdeführer reichte am 17. April 2019 abschliessende Bemerkungen ein. 2. Gemäss Art. 222 i.V.m. Art. 393 Abs. 1 Bst. b StPO können Entscheide über die Anordnung der Sicherheitshaft durch die verhaftete Person mit Beschwerde ange- fochten werden. Zuständig ist die Beschwerdekammer in Strafsachen (Art. 35 des Gesetzes über die Organisation der Gerichtsbehörden und der Staatsanwaltschaft [GSOG; BSG 161.1] i.V.m. Art. 29 Abs. 2 des Organisationsreglements des Ober- gerichts [OrR OG; BSG 162.11]). Der Beschwerdeführer ist durch die Anordnung der Sicherheitshaft unmittelbar in seinen rechtlich geschützten Interessen betroffen und somit zur Beschwerdeführung legitimiert (Art. 222 und Art. 382 Abs. 1 StPO). Auf die form- und fristgerechte Beschwerde ist einzutreten. 3. 3.1 Die Sicherheitshaft setzt gemäss Art. 221 Abs. 1 StPO zunächst voraus, dass im Sinne eines allgemeinen Haftgrundes ein dringender Tatverdacht der Begehung eines Verbrechens oder Vergehens besteht. 3.2 Die Verteidigung bestreitet das Vorliegen des dringenden Tatverdachts zu Recht nicht. Er ist angesichts der erstinstanzlich erfolgten Verurteilung wegen Vergewalti- gung zweifelsfrei gegeben. 4. 4.1 Neben dem dringenden Tatverdacht setzt die Sicherheitshaft einen besonderen Haftgrund im Sinne von Art. 221 Abs. 1 Bst. a-c StPO voraus. Die Vorinstanz stützt sich auf den Haftgrund der Fluchtgefahr. Diese ist zu bejahen, wenn ernsthaft zu befürchten ist, dass sich die beschuldigte Person durch Flucht der Strafverfolgung oder der zu erwartenden Sanktion entzieht. Bei der Bewertung, ob Fluchtgefahr besteht, sind die gesamten konkreten Verhältnisse zu berücksichtigen. Es müssen Gründe vorliegen, die eine Flucht nicht nur als möglich, sondern als wahrscheinlich erscheinen lassen. Die Schwere der drohenden Strafe darf als Indiz für die Flucht- gefahr gewertet werden. Sie genügt jedoch für sich allein nicht, um den Haftgrund zu bejahen (BGE 125 I 60 E. 3a; Urteil des Bundesgerichts 1B_126/2012 und 1B_146/2012 vom 26. März 2012 E. 3.3.2). Vielmehr müssen die konkreten Um- stände, insbesondere die gesamten Lebensverhältnisse der beschuldigten Person, in Betracht gezogen werden. So ist es zulässig, die familiären und sozialen Bin- dungen des Häftlings, dessen berufliche Situation und Schulden sowie private und geschäftliche Kontakte ins Ausland und Ähnliches mit zu berücksichtigen (FORS- TER, in: Basler Kommentar StPO, 2. Aufl. 2014, N. 5 zu Art. 221 StPO; Urteile des Bundesgerichts BGer 1B_150/2015 vom 12. Mai 2015 E. 3.1, BGer 1B_285/2014 vom 19. September 2014 E. 3.3). 4.2 Der Beschwerdeführer bestreitet das Vorliegen von Fluchtgefahr. Er macht zunächst geltend, er habe zu keinem Zeitpunkt versucht, sich dem Strafverfahren zu entziehen. Bereits unmittelbar nach der angeblichen Tat habe er den Vorwurf gekannt und dennoch die Schweizer Grenze passiert, wo er dann auch verhaftet worden sei. Zur Verhandlung sei er pünktlich und anstandslos erschienen, so dass</w:t>
      </w:r>
    </w:p>
    <w:p>
      <w:r>
        <w:t>4 am zweiten Verhandlungstag auf den Beizug der Polizei habe verzichtet werden können. Es sei zudem zu beachten, dass er nach 45 Tagen aus der Untersu- chungshaft entlassen worden und der Haftgrund der Fluchtgefahr damals zu Recht verneint worden sei. Die Höhe der drohenden Strafe alleine könne gemäss bun- desgerichtlicher Rechtsprechung nicht zur Begründung der Fluchtgefahr beigezo- gen werden. Von Bedeutung sei auch, dass er grenznah bei Basel lebe. Die Sicherheitshaft ge- fährde seinen Aufenthaltsstatus in Deutschland, was fatal sei, da er keine Bezugs- punkte zu seiner formellen Heimat Kosovo aufweise, wo er auch nie gelebt habe. Mit einer Flucht würde er seine gesamte Lebensgrundlage verlieren, werde er doch durch Arbeitslosenprogramme, seine Arbeit und durch die Familie alimentiert. Er sei zudem als amtlicher Beistand für seinen Vater, der im Wachkomma liege, ver- antwortlich. Er sei eng mit seiner Kernfamilie und weiteren Verwandten in Deutsch- land verbunden und lebe noch mit seiner Mutter zusammen. Entgegen der Ansicht der Vorinstanz weise er eine Bindung zur Schweiz auf. Seine Verlobte, welche von ihm schwanger sei, lebe in H.________. Seine künftige Kernfamilie sei damit in der Schweiz ansässig. Schliesslich sei es entgegen den Vorbringen der Staatsanwaltschaft nicht möglich, einen neuen kosovarischen Reisepass in Deutschland zu beantragen. Vielmehr müsse in Deutschland ein Rückreisepass in den Kosovo ausgestellt werden, womit eine Ausweissperre durchsetzbar sei. 4.3 Bezüglich der Fluchtgefahr kann vorab auf die zutreffenden Ausführungen im ange- fochtenen Entscheid, auf die die Stellungnahme der Staatsanwaltschaft sowie auf diejenige des Regionalgerichts, beide vom 11. April 2019, verwiesen werden. Das Regionalgericht hat zutreffend geschlossen, dass dem in Deutschland wohn- haften Beschwerdeführer eine Freiheitsstrafe von 5 Jahren droht, wobei er lediglich 45 Tage in Untersuchungshaft verbracht hatte. Die vorliegend zu verbüssende Freiheitsstrafe von fünf Jahren stellt einen erheblichen Fluchtanreiz dar. Fluchtmin- dernde Gründe liegen nicht vor. Im Gegenteil geht der Beschwerdeführer in Deutschland keiner Erwerbstätigkeit nach und verfügt damit über keinen geregelten Alltag. Unsichere Aussichten bezüglich der beruflichen und finanziellen Situation stellen einen weiteren Anreiz dar, sich dem bisherigen Leben und damit auch der Strafjustiz zu entziehen (Urteil des Bundesgerichts BGer 1B_158/2017 vom</w:t>
      </w:r>
    </w:p>
    <w:p>
      <w:r>
        <w:rPr>
          <w:b/>
        </w:rPr>
        <w:t>E. 5</w:t>
      </w:r>
    </w:p>
    <w:p>
      <w:r>
        <w:t>Eventualiter beantragt die Verteidigung, es sei im Sinne einer Ersatzmassnahme die Schriftensperre zu verfügen und der Beschwerdeführer zu verpflichten, in re- gelmässigen Abständen bei der örtlichen Polizei vorzusprechen. Die Haft muss verhältnismässig sein. Es kann analog auf Art. 212 Abs. 2 Bst. c StPO verwiesen werden. Demnach sind freiheitsentziehende Zwangsmass- nahmen aufzuheben, sobald Ersatzmassnahmen nach Art. 237 StPO zum gleichen Ziel führen. Wie dargelegt, muss ernsthaft damit gerechnet werden, dass sich der Beschwerde- führer durch Untertauchen innerhalb von Deutschland dem Strafverfahren entzie- hen könnte. Eine Schriftensperre bzw. Meldepflicht vermag dieser Gefahr nicht zu</w:t>
      </w:r>
    </w:p>
    <w:p>
      <w:r>
        <w:rPr>
          <w:b/>
        </w:rPr>
        <w:t>E. 6</w:t>
      </w:r>
    </w:p>
    <w:p>
      <w:r>
        <w:t>Bei diesem Ausgang des Verfahrens wird der Beschwerdeführer kostenpflichtig (Art. 428 Abs. 1 StPO). Die Kosten für das Beschwerdeverfahren werden auf CHF 1‘000.00 bestimmt. Die Entschädigung der amtlichen Verteidigung für ihre Aufwendungen im Be- schwerdeverfahren werden am Ende des Verfahrens durch das urteilende Gericht festgesetzt (Art. 135 Abs. 2 StPO).</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