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2019 165 vom 23. April 2019</w:t>
      </w:r>
    </w:p>
    <w:p>
      <w:r>
        <w:t>BE Obergericht, 2019-04-23, DE</w:t>
      </w:r>
    </w:p>
    <w:p>
      <w:r>
        <w:rPr>
          <w:b/>
        </w:rPr>
        <w:t xml:space="preserve">Quelle: </w:t>
      </w:r>
      <w:r>
        <w:t>https://mcp.opencaselaw.ch/entscheid/be_zivilstraf_BK_2019_165</w:t>
      </w:r>
    </w:p>
    <w:p>
      <w:r>
        <w:t>FR: BE_ZIVILSTRAF BK 2019 165 du 23 avril 2019</w:t>
      </w:r>
    </w:p>
    <w:p>
      <w:r>
        <w:t>IT: BE_ZIVILSTRAF BK 2019 165 del 23 aprile 2019</w:t>
      </w:r>
    </w:p>
    <w:p>
      <w:pPr>
        <w:pStyle w:val="Heading2"/>
      </w:pPr>
      <w:r>
        <w:t>Regeste</w:t>
      </w:r>
    </w:p>
    <w:p>
      <w:r>
        <w:t>Anordnung Sicherheitshaft | Andere Verfügungen Gericht (393-b)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Mit Urteil des Regionalgerichts Emmental-Oberaargau (Kollegialgericht) vom</w:t>
      </w:r>
    </w:p>
    <w:p>
      <w:r>
        <w:rPr>
          <w:b/>
        </w:rPr>
        <w:t>E. 1.2</w:t>
      </w:r>
    </w:p>
    <w:p>
      <w:r>
        <w:t>Im Anschluss an die mündliche Urteilseröffnung fand am 5. April 2019 die Verhand- lung betreffend Anordnung von Sicherheitshaft gemäss Art. 231 der Schweizeri- schen Strafprozessordnung (StPO; SR 3112.0) statt (pag. 1002 ff.). Das Regional- gericht versetzte den Beschwerdeführer mit Entscheid vom 5. April 2019 für die Dauer von vorerst sechs Monaten zur Sicherung des Strafvollzugs in Sicherheits- haft (pag. 1012 ff.).</w:t>
      </w:r>
    </w:p>
    <w:p>
      <w:r>
        <w:rPr>
          <w:b/>
        </w:rPr>
        <w:t>E. 1.3</w:t>
      </w:r>
    </w:p>
    <w:p>
      <w:r>
        <w:t>Dagegen erhob der Beschwerdeführer, amtlich verteidigt durch Rechtsanwältin B.________, am 8. April 2019 Beschwerde und stellte folgende Anträge:</w:t>
      </w:r>
    </w:p>
    <w:p>
      <w:r>
        <w:rPr>
          <w:b/>
        </w:rPr>
        <w:t>E. 5</w:t>
      </w:r>
    </w:p>
    <w:p>
      <w:r>
        <w:t>Monaten (unter Anrechnung der Untersuchungshaft von 45 Tagen an die Frei- heitsstrafe), zu einer Landesverweisung von 12 Jahren sowie zur Bezahlung der Verfahrenskosten von CHF 18‘235.65. Weiter verfügte das Regionalgericht über das amtliche Honorar der Verteidigerin bzw. der Vertreterin der Privatklägerin so- wie über die entsprechenden Rück- und Nachzahlungspflichten. Im Zivilpunkt wur- de der Beschwerdeführer unter solidarischer Haftung mit C.________ zur Zahlung einer Genugtuung an die Privatklägerin verurteilt. Die Zivilklage wurde betreffend Schadenersatz auf den Zivilweg verwiesen (pag. 993 ff.).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