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113 vom 26. Februar 2019</w:t>
      </w:r>
    </w:p>
    <w:p>
      <w:r>
        <w:t>BE Obergericht, 2019-02-26, DE</w:t>
      </w:r>
    </w:p>
    <w:p>
      <w:r>
        <w:rPr>
          <w:b/>
        </w:rPr>
        <w:t xml:space="preserve">Quelle: </w:t>
      </w:r>
      <w:r>
        <w:t>https://mcp.opencaselaw.ch/entscheid/be_zivilstraf_BK_2019_113</w:t>
      </w:r>
    </w:p>
    <w:p>
      <w:r>
        <w:t>FR: BE_ZIVILSTRAF BK 2019 113 du 26 février 2019</w:t>
      </w:r>
    </w:p>
    <w:p>
      <w:r>
        <w:t>IT: BE_ZIVILSTRAF BK 2019 113 del 26 febbraio 2019</w:t>
      </w:r>
    </w:p>
    <w:p>
      <w:pPr>
        <w:pStyle w:val="Heading2"/>
      </w:pPr>
      <w:r>
        <w:t>Regeste</w:t>
      </w:r>
    </w:p>
    <w:p>
      <w:r>
        <w:t>Gültigkeit der Einsprache | Andere Verfügungen Gericht (393-b)</w:t>
      </w:r>
    </w:p>
    <w:p>
      <w:pPr>
        <w:pStyle w:val="Heading2"/>
      </w:pPr>
      <w:r>
        <w:t>Erwägungen</w:t>
      </w:r>
    </w:p>
    <w:p>
      <w:r>
        <w:rPr>
          <w:b/>
        </w:rPr>
        <w:t>E. 1</w:t>
      </w:r>
    </w:p>
    <w:p>
      <w:r>
        <w:t>Mit Strafbefehl vom 10. Oktober 2018 wurde A.________ (nachfolgend: Beschul- digter) wegen Drohung zum Nachteil von C.________ (nachfolgend: Privatkläger) schuldig erklärt und zu einer bedingten Geldstrafe von 12 Tagessätzen zu je CHF 120.00 und zu einer Verbindungsbusse von CHF 360.00 verurteilt. Dagegen erhob – soweit hier noch relevant – der Privatkläger Einsprache, worauf die Regio- nale Staatsanwaltschaft Oberland die Akten dem Regionalgericht Oberland (nach- folgend: Regionalgericht) zur Durchführung des Hauptverfahrens überwies. Mit Verfügung vom 26. Februar 2019 stellte das Regionalgericht die Ungültigkeit der vom Privatkläger eingereichten Einsprache fest, weshalb es auf diese nicht ein- trat und (u.a.) auf Rechtskraft des Strafbefehls vom 10. Oktober 2018 schloss. Hiergegen erhob der Privatkläger (nachfolgend: Beschwerdeführer) am 7. März 2019 bei der Beschwerdekammer in Strafsachen des Obergerichts des Kantons Bern «Einsprache» (recte: Beschwerde). Mit Blick auf das Nachfolgende hat die Verfahrensleitung auf das Einholen einer Stellungnahme verzichtet (Art. 390 Abs. 2 der Schweizerischen Strafprozessord- nung [StPO; SR 312.0]).</w:t>
      </w:r>
    </w:p>
    <w:p>
      <w:r>
        <w:rPr>
          <w:b/>
        </w:rPr>
        <w:t>E. 2</w:t>
      </w:r>
    </w:p>
    <w:p>
      <w:r>
        <w:t>Gegen Verfügungen und Beschlüsse sowie Verfahrenshandlungen erstinstanzli- cher Gerichte kann innert 10 Tagen schriftlich und begründet Beschwerde geführt werden (Art. 393 Abs. 1 Bst. b i.V.m. Art. 396 Abs. 1 StPO; Art. 35 Gesetz über die Organisation der Gerichtsbehörden und der Staatsanwaltschaft [GSOG; BSG 161.1] i.V.m. Art. 29 Abs. 2 Organisationsreglement des Obergerichts [OrR OG; BSG 162.11]). Ein Ausnahmegrund gemäss Art. 393 Abs. 1 Bst. b 2. Satzteil liegt hier nicht vor. Der Beschwerdeführer ist durch die angefochtene Verfügung, mit welcher ihm die Einsprachebefugnis abgesprochen und auf Ungültigkeit der Ein- sprache geschlossen worden ist, unmittelbar in seinen rechtlich geschützten Inter- essen betroffen und somit zur Beschwerdeführung legitimiert (Art. 382 Abs. 1 StPO). Auf die form- und fristgerechte Beschwerde ist einzutreten. Der Streitgegenstand vor der Beschwerdekammer wird durch das Anfechtungsob- jekt definiert. Gegenstand des vorliegenden Verfahrens bildet ausschliesslich die Frage, ob der Beschwerdeführer zur Einsprache gegen den Strafbefehl legitimiert ist. Auf die Beschwerde kann somit insoweit nicht eingetreten werden, als der Be- schwerdeführer das Verhalten der Polizei bzw. die angeblich unterbliebene Be- schlagnahme der Waffe rügt.</w:t>
      </w:r>
    </w:p>
    <w:p>
      <w:r>
        <w:rPr>
          <w:b/>
        </w:rPr>
        <w:t>E. 3</w:t>
      </w:r>
    </w:p>
    <w:p>
      <w:r>
        <w:t>von Art. 433 StPO im Strafbefehl keine oder ihrer Ansicht nach eine zu tiefe Partei- entschädigung zugesprochen worden ist (BGE 139 IV 102 E. 5.2 mit Hinweisen) oder wenn sie eine strengere rechtliche Qualifikation des Sachverhalts anstrebt (BGE 141 IV 231 E. 2.3 ff.). Der Beschwerdeführer begründete seine Einsprache mit einer alternativen Auffas- sung zum Sachverhalt. Seiner Schilderung zufolge habe der Beschuldigte ihn nicht mit einem «Schlegel», sondern mit einer Waffe (Gewehr) bedroht. Diese Begrün- dung tangiert nun aber weder die rechtliche Würdigung des Sachverhalts noch den Schuldspruch an sich. Gegen das ausgesprochene Strafmass steht ihm kein An- fechtungsrecht zu. Mit Eintritt der Rechtskraft des Strafbefehls ist dem Strafverfol- gungs- und Bestrafungsbedürfnis des Beschwerdeführers Genüge getan. Das Argument des Beschwerdeführers, wonach sein damaliger Rechtsvertreter nichts gegen den Strafbefehl habe unternehmen wollen, er daher selber habe tätig werden müssen, ändert daran nichts. Es ist nicht etwa so, dass auf die Einsprache mangels rechtzeitiger anwaltlicher Eingabe oder mangels Begründung des rechtlich geschützten Interesses nicht eingetreten worden wäre, sondern deshalb, weil das Regionalgericht nach erfolgter Prüfung zum Schluss gelangt ist, dass die vom Be- schwerdeführer vorgetragenen Einwände keine Einsprachelegitimation begründen würden. Im Beschwerdeverfahren bringt der Beschwerdeführer keine Gründe vor, weshalb die Schlussfolgerung des Regionalgerichts nicht rechtens sein soll. Die Beschwerde erweist sich somit als unbegründet und ist abzuweisen, soweit auf diese eingetreten wird.</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