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468 vom 16. Oktober 2018</w:t>
      </w:r>
    </w:p>
    <w:p>
      <w:r>
        <w:t>BE Obergericht, 2018-10-16, DE</w:t>
      </w:r>
    </w:p>
    <w:p>
      <w:r>
        <w:rPr>
          <w:b/>
        </w:rPr>
        <w:t xml:space="preserve">Quelle: </w:t>
      </w:r>
      <w:r>
        <w:t>https://mcp.opencaselaw.ch/entscheid/be_zivilstraf_BK_2018_468</w:t>
      </w:r>
    </w:p>
    <w:p>
      <w:r>
        <w:t>FR: BE_ZIVILSTRAF BK 2018 468 du 16 octobre 2018</w:t>
      </w:r>
    </w:p>
    <w:p>
      <w:r>
        <w:t>IT: BE_ZIVILSTRAF BK 2018 468 del 16 ottobre 2018</w:t>
      </w:r>
    </w:p>
    <w:p>
      <w:pPr>
        <w:pStyle w:val="Heading2"/>
      </w:pPr>
      <w:r>
        <w:t>Regeste</w:t>
      </w:r>
    </w:p>
    <w:p>
      <w:r>
        <w:t>Beweisanträge | Andere Verfügungen StA, Polizei (393-a)</w:t>
      </w:r>
    </w:p>
    <w:p>
      <w:pPr>
        <w:pStyle w:val="Heading2"/>
      </w:pPr>
      <w:r>
        <w:t>Erwägungen</w:t>
      </w:r>
    </w:p>
    <w:p>
      <w:r>
        <w:rPr>
          <w:b/>
        </w:rPr>
        <w:t>E. 1</w:t>
      </w:r>
    </w:p>
    <w:p>
      <w:r>
        <w:t>Die Regionale Staatsanwaltschaft Bern-Mittelland (nachfolgend: Staatsanwalt- schaft) wies mit Verfügung vom 16. Oktober 2018 den Beweisantrag von A.________ (nachfolgend: Beschwerdeführer), es sei ein Augenschein am Unfallort durchzuführen, ab. Dagegen reichte der Beschwerdeführer am 30. Oktober 2018 Beschwerde ein und beantragte sinngemäss, der Beweisantrag sei zu genehmi- gen. Mit Blick auf das Nachfolgende wurde auf die Durchführung eines Schriftenwech- sels verzichtet (Art. 390 Abs. 2 StPO).</w:t>
      </w:r>
    </w:p>
    <w:p>
      <w:r>
        <w:rPr>
          <w:b/>
        </w:rPr>
        <w:t>E. 2</w:t>
      </w:r>
    </w:p>
    <w:p>
      <w:r>
        <w:t>Der Entscheid betreffend Abweisung von Beweisanträgen ist nur dann gemäss Art. 394 Bst. b StPO beschwerdefähig, wenn der Antrag nicht ohne Rechtsnachteil vor dem erstinstanzlichen Gericht wiederholt werden kann (LANDSHUT/BOSSHARD, in: Kommentar zur Schweizerischen Strafprozessordnung, 2. Aufl. 2014, N. 13 zu Art. 318 StPO, mit Hinweisen). Ein solcher Rechtsnachteil liegt vor allem dann vor, wenn die Beweisabnahme keinen Aufschub verträgt, insbesondere weil sonst ein Beweisverlust droht (Urteil des Bundesgerichts 1B_73/2013 vom 21. Mai 2014 E. 1.4). Der Nachweis des drohenden Rechtsnachteils obliegt der beschwerde- führenden Person. Sie hat zu begründen, weshalb der beantragte Beweis von ent- scheidender Bedeutung für das Verfahren ist, sowie nachzuweisen, dass ein Zu- warten mit der Beweisabnahme aller Voraussicht nach zu einem Beweisverlust führen würde (GUIDON, in: Basler Kommentar, Schweizerische Strafprozessord- nung, 2. Aufl. 2014, N. 6 zu Art. 394 StPO). Gemäss bundesgerichtlicher Recht- sprechung muss ein konkretes Risiko des Beweisverlusts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 Schweize- rische Strafprozessordnung Praxiskommentar, 3. Aufl. 2017, N. 3 zu Art. 394 StPO; GUIDON, a.a.O., N. 6 zu Art. 394 StPO). Es ist nicht ersichtlich und wird auch nicht begründet, dass ein Beweisverlust dro- hen würde. Der Beschwerdeführer äussert sich einzig zum Sachverhalt, wie er sich aus seiner Sicht zugetragen hat. Auf die Beschwerde ist deshalb wegen offensicht- licher Unzulässigkeit nicht einzutreten. Der Beweisantrag kann vor dem Sachge- richt erneut gestellt und begründet werden, weshalb die Situation vor Ort anzu- schauen sei.</w:t>
      </w:r>
    </w:p>
    <w:p>
      <w:r>
        <w:rPr>
          <w:b/>
        </w:rPr>
        <w:t>E. 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