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417 vom 28. Januar 2019</w:t>
      </w:r>
    </w:p>
    <w:p>
      <w:r>
        <w:t>BE Obergericht, 2019-01-28, DE</w:t>
      </w:r>
    </w:p>
    <w:p>
      <w:r>
        <w:rPr>
          <w:b/>
        </w:rPr>
        <w:t xml:space="preserve">Quelle: </w:t>
      </w:r>
      <w:r>
        <w:t>https://mcp.opencaselaw.ch/entscheid/be_zivilstraf_BK_2018_417</w:t>
      </w:r>
    </w:p>
    <w:p>
      <w:r>
        <w:t>FR: BE_ZIVILSTRAF BK 2018 417 du 28 janvier 2019</w:t>
      </w:r>
    </w:p>
    <w:p>
      <w:r>
        <w:t>IT: BE_ZIVILSTRAF BK 2018 417 del 28 gennaio 2019</w:t>
      </w:r>
    </w:p>
    <w:p>
      <w:pPr>
        <w:pStyle w:val="Heading2"/>
      </w:pPr>
      <w:r>
        <w:t>Regeste</w:t>
      </w:r>
    </w:p>
    <w:p>
      <w:r>
        <w:t>20181004_081222_ANOM.docx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C.________ (nachfolgend: Beschwerdeführer), vertreten durch Rechtsanwältin D.________, erstattete am 2. Dezember 2016 telefonisch bei der Polizei Anzeige wegen sexueller Nötigung. Am 8. Dezember 1992 (recte: 2016) konstituierte sich der Beschwerdeführer als Straf- und Zivilkläger. Am 22. Dezember 2016 (nachträg- lich verurkundet am 20. Juli 2018) eröffnete die Regionale Staatsanwaltschaft Em- mental-Oberaargau (nachfolgend: Staatsanwaltschaft) eine Strafuntersuchung ge- gen A.________ (nachfolgend: Beschuldigter) wegen sexueller Nötigung zum Nachteil des Beschwerdeführers.</w:t>
      </w:r>
    </w:p>
    <w:p>
      <w:r>
        <w:rPr>
          <w:b/>
        </w:rPr>
        <w:t>E. 1.2</w:t>
      </w:r>
    </w:p>
    <w:p>
      <w:r>
        <w:t>Am 20. September 2018 stellte die Staatsanwaltschaft das Strafverfahren gegen den Beschuldigten wegen sexueller Nötigung, evtl. Schändung, angeblich began- gen am 3. September 2016 in K.________, ein. Gegen die Einstellung des Verfah- rens erhob der Beschwerdeführer am 3. Oktober 2018 Beschwerde und stellte fol- 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