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301 vom 17. Juli 2018</w:t>
      </w:r>
    </w:p>
    <w:p>
      <w:r>
        <w:t>BE Obergericht, 2018-07-17, DE</w:t>
      </w:r>
    </w:p>
    <w:p>
      <w:r>
        <w:rPr>
          <w:b/>
        </w:rPr>
        <w:t xml:space="preserve">Quelle: </w:t>
      </w:r>
      <w:r>
        <w:t>https://mcp.opencaselaw.ch/entscheid/be_zivilstraf_BK_2018_301</w:t>
      </w:r>
    </w:p>
    <w:p>
      <w:r>
        <w:t>FR: BE_ZIVILSTRAF BK 2018 301 du 17 juillet 2018</w:t>
      </w:r>
    </w:p>
    <w:p>
      <w:r>
        <w:t>IT: BE_ZIVILSTRAF BK 2018 301 del 17 luglio 2018</w:t>
      </w:r>
    </w:p>
    <w:p>
      <w:pPr>
        <w:pStyle w:val="Heading2"/>
      </w:pPr>
      <w:r>
        <w:t>Regeste</w:t>
      </w:r>
    </w:p>
    <w:p>
      <w:r>
        <w:t>Anspruch Dritter auf Ersatz Reisekosten | Andere Verfügungen Gericht (393-b)</w:t>
      </w:r>
    </w:p>
    <w:p>
      <w:pPr>
        <w:pStyle w:val="Heading2"/>
      </w:pPr>
      <w:r>
        <w:t>Erwägungen</w:t>
      </w:r>
    </w:p>
    <w:p>
      <w:r>
        <w:rPr>
          <w:b/>
        </w:rPr>
        <w:t>E. 1</w:t>
      </w:r>
    </w:p>
    <w:p>
      <w:r>
        <w:t>Am 3. April 2018 sollte vor dem Regionalgericht Oberland die Hauptverhandlung im Verfahren gegen A.________ und B.________ wegen Ungehorsams gegen amtli- che Verfügungen und Übertretung gegen das Abfallgesetz stattfinden. Die Ver- handlung wurde jedoch kurz vor Beginn verschoben. C.________, der an der Ver- handlung als Zuhörer hätte teilnehmen wollen, verlangte in der Folge die Rücker- stattung seiner Reisekosten, da er vergebens von Morges nach Thun gereist sei. Mit Verfügung vom 29. Juni 2018 wies das Regionalgericht Oberland dieses Be- gehren ab. Dagegen erhob C.________ (nachfolgend: Beschwerdeführer) am 9. Juli 2018 Beschwerde.</w:t>
      </w:r>
    </w:p>
    <w:p>
      <w:r>
        <w:rPr>
          <w:b/>
        </w:rPr>
        <w:t>E. 2</w:t>
      </w:r>
    </w:p>
    <w:p>
      <w:r>
        <w:t>Zur Beschwerde legitimiert ist jede Partei, die ein rechtlich geschütztes Interesse an der Aufhebung oder Änderung eines Entscheids hat (Art. 382 Abs. 1 StPO). Der Beschwerdeführer wollte als unbeteiligter Zuhörer der fraglichen Verhandlung bei- wohnen. Weder war er im betreffenden Strafverfahren Partei, noch war er aufgrund einer Vorladung zum persönlichen Erscheinen verpflichtet. Er fuhr aus reinem In- teresse freiwillig nach Thun. Ein Anspruch auf Ersatz seiner Reisekosten steht ihm als Drittperson nicht zu, womit seine Legitimation im Beschwerdeverfahren klar zu verneinen ist. Auf die Beschwerde wird wegen offensichtlicher Unzulässigkeit nicht eingetreten. In Anwendung von Art. 390 Abs. 2 StPO wird auf die Durchführung ei- nes Schriftenwechsels verzichtet.</w:t>
      </w:r>
    </w:p>
    <w:p>
      <w:r>
        <w:rPr>
          <w:b/>
        </w:rPr>
        <w:t>E. 3</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