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287 vom 25. März 2018</w:t>
      </w:r>
    </w:p>
    <w:p>
      <w:r>
        <w:t>BE Obergericht, 2018-03-25, DE</w:t>
      </w:r>
    </w:p>
    <w:p>
      <w:r>
        <w:rPr>
          <w:b/>
        </w:rPr>
        <w:t xml:space="preserve">Quelle: </w:t>
      </w:r>
      <w:r>
        <w:t>https://mcp.opencaselaw.ch/entscheid/be_zivilstraf_BK_2018_287</w:t>
      </w:r>
    </w:p>
    <w:p>
      <w:r>
        <w:t>FR: BE_ZIVILSTRAF BK 2018 287 du 25 mars 2018</w:t>
      </w:r>
    </w:p>
    <w:p>
      <w:r>
        <w:t>IT: BE_ZIVILSTRAF BK 2018 287 del 25 marzo 2018</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ein Strafverfahren gegen A.________ (nachfolgend: Beschwerdefüh- rer) wegen qualifizierter Widerhandlungen gegen das Bundesgesetz über die Betäubungsmittel und die psychotropen Stoffe (Betäubungsmittelgesetz, BetmG; SR 812.121). Mit Entscheid vom 25. März 2018 ordnete das Kantonale Zwangs- massnahmengericht (nachfolgend: Zwangsmassnahmengericht) Untersuchungs- haft gegen den Beschwerdeführer für eine Dauer von drei Monaten bis zum 21. Ju- ni 2018 an. Mit Entscheid vom 21. Juni 2018 verlängerte es die Untersuchungshaft auf Antrag der Staatsanwaltschaft um weitere zwei Monate, d.h. bis am 21. August 2018. Hiergegen erhob der Beschwerdeführer am 29. Juni 2018 Beschwerde. Er beantragte, der Entscheid des Zwangsmassnahmengerichts sei aufzuheben und er sei unverzüglich aus der Untersuchungshaft zu entlassen. Eventualiter seien Er- satzmassnahmen anzuordnen. Das Zwangsmassnahmengericht verzichtete am</w:t>
      </w:r>
    </w:p>
    <w:p>
      <w:r>
        <w:rPr>
          <w:b/>
        </w:rPr>
        <w:t>E. 3</w:t>
      </w:r>
    </w:p>
    <w:p>
      <w:r>
        <w:t>Juli 2018 auf eine Stellungnahme. Die Generalstaatsanwaltschaft schloss am</w:t>
      </w:r>
    </w:p>
    <w:p>
      <w:r>
        <w:rPr>
          <w:b/>
        </w:rPr>
        <w:t>E. 5</w:t>
      </w:r>
    </w:p>
    <w:p>
      <w:r>
        <w:t>die Einreichung der E-Mails von Dr. D.________ vom 12. Juni 2018 sowie der Be- währungshilfe vom 14. Juni 2018 dargelegt, dass im Falle der Haftentlassung schnell ein unterstützendes Netz errichtet werden könnte, um ihn in seinem Willen, die Drogensucht endlich ganz hinter sich zu lassen, zu unterstützen. Durch seinen Willen zur Veränderung der Lebensumstände müsse die ungünstige Prognose ver- neint werden. 4.6 Gegen den Beschwerdeführer wird im laufenden Strafverfahren wegen Besitzes und Handels von Kokain und Heroin im qualifizierten Bereich, festgesellt am 22. März 2018, ermittelt (Art. 19 Abs. 2 BetmG). Durch den Verkauf der Betäu- bungsmittel gefährdete der Beschwerdeführer die Sicherheit vieler anderer Men- schen. Die inkriminierte Straftat stellt eine schwere Tat im Sinne von Art. 221 Abs. 1 Bst. c StPO dar. Es liegt eine erhebliche Gefährdung der Sicherheitslage anderer Personen vor (vgl. E. 4.1 hiervor). Der Beschwerdeführer weist zudem ein- schlägige Vorstrafen auf. Gemäss Strafregisterauszug vom 22. März 2018 wurde er bereits mehrfach wegen Verbrechen und Vergehen gegen das Betäubungsmit- telgesetz zu bedingten und unbedingten Freiheitsstrafen sowie im Jahr 2009 zu ei- ner ambulanten Behandlung gemäss Art. 63 des Schweizerischen Strafgesetzbu- ches (StGB; SR 311.0) verurteilt. Das Vortatenerfordernis ist demnach erfüllt. Hinsichtlich der Prognosebeurteilung kann vorab auf die zutreffenden Ausführun- gen des Zwangsmassnahmengerichts (E. 4.2 des Entscheids) sowie der General- staatsanwaltschaft (E. 3.2 der Stellungnahme) verwiesen werden. Sowohl die mit Urteil des Kreisgerichts VIII Bern-Laupen am 11. Januar 2006 bedingt ausgespro- chen Zuchthausstrafe von 18 Monaten als auch die mit Urteil des Gerichtskreises VIII Bern-Laupen am 5. März 2009 ausgesprochene Freiheitsstrafe von 26 Mona- ten, welche zunächst zugunsten einer ambulanten Behandlung aufgeschoben und für welche am 10. April 2013 nachträglich bei der Reststrafe der bedingte Vollzug gewährt wurde, mussten zufolge weiterer einschlägiger Straffälligkeit des Be- schwerdeführers widerrufen werden. Zuletzt wurde der Beschwerdeführer am 20. September 2016 vorzeitig aus dem Strafvollzug entlassen. Mit Strafbefehl der Regionalen Staatsanwaltschaft Bern-Mittelland vom 15. Januar 2018 wurde er er- neut wegen Vergehen gegen das Betäubungsmittelgesetz, begangen am 22. Okto- ber 2017, verurteilt. Unbesehen dieser zahlreichen Vorstrafen und insbesondere einer ambulanten Behandlung gemäss Art. 63 StGB (Aufhebung der ambulanten Massnahme am 15. Oktober 2012; vgl. den Strafregisterauszug) schreckte der Be- schwerdeführer nicht davor zurück, weiterhin Betäubungsmittel zu konsumieren und einschlägig zu delinquieren. Er vermochte die Gründe, weshalb er erneut ein- schlägig straffällig wurde, nicht darzutun. Eine Einsicht des Beschwerdeführers in das Unrecht seiner Taten ist nicht erkennbar (vgl. insbesondere sein Aussagever- halten anlässlich der aktuellen staatsanwaltschaftlichen Einvernahme vom 14. Juni 2018). Es scheint, dass sich der Beschwerdeführer durch die bisherigen Verurtei- lungen und den Vollzug von Freiheitsstrafen nicht belehren liess. Die Gefahr, dass der Beschwerdeführer weitere schwere Delikte gegen das Betäubungsmittelgesetz begehen könnte, insbesondere mit Heroin und Kokain im qualifizierten Bereich zu handeln, ist daher als hoch einzuschätzen. Auch die persönlichen Umstände prä- sentieren sich im Hinblick auf die Wiederholungsgefahr gegenwärtig als ungünstig. Der Beschwerdeführer hat offenbar bereits eine Suchtbehandlung absolviert oder</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5.2</w:t>
      </w:r>
    </w:p>
    <w:p>
      <w:r>
        <w:t>Vorliegend sind angesichts der Rückfallgefahr sowie der Uneinsichtigkeit des Be- schwerdeführers keine geeigneten Ersatzmassnahmen ersichtlich, mit welchen der Wiederholungsgefahr ausreichend begegnet werden könnte. Die Beschwerde- kammer in Strafsachen teilt die Auffassung des Zwangsmassnahmengerichts, wo- nach eine ambulante Behandlung mit Begleitung durch die Psychatrie-Spitex auf- grund der vielen Vorstrafen des Beschwerdeführers einen erneuten Rückfall nicht genügend zu verhindern vermöchte. Der Beschwerdeführer hat offenbar bereits ei- ne Suchtbehandlung absolviert oder zumindest begonnen, welche augenscheinlich nicht erfolgreich war. Gemäss eigenen Aussagen hat der Beschwerdeführer kurz vor seiner Inhaftierung nach wie vor regelmässig in grösseren Mengen Drogen konsumiert (Heroin, Kokain). Eine glaubhafte Einsicht in die Suchtproblematik ist nicht erkennbar. Die Bereitschaft, sich einer Suchtbehandlung zu unterziehen und weiterhin das Substitutionsmedikament Sevre-Long einzunehmen, dürfte ange- sichts dessen mehr dem Bedürfnis des Beschwerdeführers, möglichst rasch aus der Untersuchungshaft entlassen zu werden sowie der Notwendigkeit, während der Untersuchungshaft auf ein Substitutionsmedikament zurückgreifen zu können, ent- springen, als einer effektiven Einsicht des Beschwerdeführers und einem ernsthaf- ten Willen, endgültig von der Drogensucht und dem damit verbundenen Betäu- bungsmittelhandel wegzukommen. Die Wirksamkeit der vom Beschwerdeführer vorgeschlagenen Ersatzmassnahme (ambulante Therapie) muss in der vorliegen- den Konstellation stark bezweifelt werden. Wie bereits vorstehend (E. 4.6 hiervor) dargetan wurde, muss sich die Suchtbehandlung zunächst für eine gewisse Zeit etablieren, bis mit einem längerfristigen Behandlungserfolg gerechnet werden kann. Mindestens zwischenzeitlich ist die ambulante Behandlung daher keine wirk- same Ersatzmassnahme. Auch mit regelmässigen Drogentests kann die Wiederho- lungsgefahr angesichts der ausgeprägten Suchtmittelabhängigkeit des Beschwer- deführers und der Erfolglosigkeit der bisherigen Therapieversuche nicht hinrei- chend gebannt werden. Dasselbe gilt für die vom Beschwerdeführer vorgeschlage- nen Überwachungsmassnahmen nach Art. 237 Abs. 3 StPO, vermögen diese doch nicht zu verhindern, dass der Beschwerdeführer weiterhin mit Betäubungsmitteln in Kontakt kommt.</w:t>
      </w:r>
    </w:p>
    <w:p>
      <w:r>
        <w:rPr>
          <w:b/>
        </w:rPr>
        <w:t>E. 5.3</w:t>
      </w:r>
    </w:p>
    <w:p>
      <w:r>
        <w:t>Die Staatsanwaltschaft hat anlässlich der Einvernahme vom 14. Juni 2018 ge- genüber dem Beschwerdeführer ausgeführt «ich werde Sie ohnehin anklagen, ob Sie nun Aussagen machen oder nicht. Das andere ist die Haft, die Ihnen droht. Bei Aussagen nehme ich in Kauf, dass Sie untertauchen und würde Sie aus der Haft entlassen. Sind keine Aussagen da, besteht der Haftgrund der Fluchtgefahr, was bedeutet, dass ich einen Antrag auf Haftverlängerung stellen würde» (Z. 194 ff.). Diese Ausführungen der Staatsanwaltschaft sind unzulässig. Zwar steht es der Staatsanwaltschaft frei, der einvernommenen beschuldigten Person die Rechtslage zu erläutern, allerdings geht es nicht an, diese mit der Androhung der Verlängerung der Untersuchungshaft zu Aussagen zu bewegen. Die Ausführungen der Staats- anwaltschaft ändern indes letztlich nichts daran, dass vorliegend der Haftgrund der Wiederholungsgefahr gegeben ist und eine sofortige Haftentlassung, eventualiter unter Anordnung von Ersatzmassnahmen, aufgrund der damit einhergehenden er- heblichen Gefährdung der Sicherheit anderer durch die drohenden Delikte, nicht in Frage kommt.</w:t>
      </w:r>
    </w:p>
    <w:p>
      <w:r>
        <w:rPr>
          <w:b/>
        </w:rPr>
        <w:t>E. 5.4</w:t>
      </w:r>
    </w:p>
    <w:p>
      <w:r>
        <w:t>Der Beschwerdeführer befindet sich seit dem 22. März 2018 in Haft. Die vom Zwangsmassnahmengericht ausgesprochene Verlängerung der Untersuchungshaft bis am 21. August 2018 führt zu einer Haftdauer von fünf Monaten. In Anbetracht des im Raum stehenden Vorwurfs der qualifizierten Widerhandlungen gegen das Betäubungsmittelgesetz (Art. 19 Abs. 2 BetmG) mit einem Strafrahmen von einer Freiheitsstrafe von nicht unter einem Jahr sowie der Vorstrafen des Beschwerde- führers erscheint die Dauer als verhältnismässig. Gemäss Ausführungen der Staatsanwaltschaft steht das Verfahren kurz vor dem Abschluss. Noch anstehend sind die Anklageerhebung mit Fristansetzung und die Bearbeitung eventueller Be- weisanträge. Die Dauer der Verlängerung um zwei Monate ist angesichts der noch anstehenden Arbeiten angemessen.</w:t>
      </w:r>
    </w:p>
    <w:p>
      <w:r>
        <w:rPr>
          <w:b/>
        </w:rPr>
        <w:t>E. 5.5</w:t>
      </w:r>
    </w:p>
    <w:p>
      <w:r>
        <w:t>Nach dem Gesagten ist die Verlängerung der Untersuchungshaft um zwei Monaten bis am 21. August 2018 rechtens. Die hiergegen erhobene Beschwerde ist abzu- weisen. 6. Bei diesem Ausgang des Verfahrens sind die Kosten des Beschwerdeverfahrens, bestimmt auf CHF 1‘500.00, dem unterliegenden Beschwerdeführer aufzuerlegen. Die Entschädigung des amtlichen Verteidigers des Beschwerdeführers für seine Aufwendungen im Beschwerdeverfahren ist am Ende des Verfahrens das urteilen- de Gericht festzusetzen (Art. 135 Abs. 2 StPO).</w:t>
      </w:r>
    </w:p>
    <w:p>
      <w:r>
        <w:rPr>
          <w:b/>
        </w:rPr>
        <w:t>E. 6</w:t>
      </w:r>
    </w:p>
    <w:p>
      <w:r>
        <w:t>mindestens begonnen (vgl. Beschwerde S. 5, wonach die wieder aufgenommene Suchtbehandlung positiv zu berücksichtigen sei). Ungeachtet dessen konsumierte er gemäss eigenen Aussagen anlässlich der staatsanwaltschaftlichen Einvernahme vom 14. Juni 2018, Z. 29 ff., bis vor seiner Verhaftung Ende März 2018 weiterhin in grossen Mengen Heroin und Kokain (täglich ca. 5 Gramm Heroin und 2-3 Gramm Kokain). Der Beschwerdeführer hat offenbar nicht ernsthaft versucht, seine Le- bensführung entscheidend zu ändern. Die Bereitschaft des Beschwerdeführers, sich bei Entlassung aus der Untersuchungshaft einer ambulanten Suchtbehandlung zu unterziehen mit Begleitung durch die Psychiatrie-Spitex, muss angesichts des- sen kritisch beurteilt werden (vgl. dazu auch die Ausführungen zu den Ersatzmass- nahmen in E. 5.2 hiernach). Eine Suchtbehandlung dürfte im Übrigen kaum je ge- eignet sein, eine erhebliche Wiederholungsgefahr kurzfristig wirksam zu senken, muss sich die Behandlung doch zunächst erfolgreich etablieren. Zumeist kann erst eine längere Behandlung die Prognose entscheidend verbessern. Der Beschwer- deführer ist arbeitslos und erhält seit Ende 2017 keine Sozialhilfeleistungen mehr. Damit schränkt auch die wirtschaftliche Situation den Spielraum des Beschwerde- führers, seine Drogenschäfte und damit einhergehend seinen Werdegang im inkri- minierten Umfeld zu beenden, spürbar ein. Der Beschwerdeführer würde im Falle seiner Haftentlassung in ein unverändertes Umfeld zurückkehren, das offensichtlich nicht imstande war, ihn von den ihm vorgeworfenen Straftaten abzuhalten. Auch dies gilt es bei der Prognosebeurteilung als ungünstigen Faktor zu berücksichtigen. Die Wahrscheinlichkeit weiterer gleichartiger Delikte ist angesichts der schwierigen Lebenssituation des Beschwerdeführers gross. Dem Beschwerdeführer muss da- her eine ungünstige Rückfallprognose gestellt werden. 4.7 Der Haftgrund der Wiederholungsgefahr (Art. 221 Abs. 1 Bst. c StPO) ist demnach – auch unter Berücksichtigung der bundesgerichtlichen Rechtsprechung, wonach der Haftgrund der Wiederholungsgefahr restriktiv zu handhaben ist (BGE 137 IV 84 E. 3.2 mit Hinweisen) – gegeben. Es kann offen bleiben, ob auch der Haftgrund der Fluchtgefahr erfüllt wäre. 5.</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