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2018 278 vom 1. Januar 2019</w:t>
      </w:r>
    </w:p>
    <w:p>
      <w:r>
        <w:t>BE Obergericht, 2019-01-01, FR</w:t>
      </w:r>
    </w:p>
    <w:p>
      <w:r>
        <w:rPr>
          <w:b/>
        </w:rPr>
        <w:t xml:space="preserve">Quelle: </w:t>
      </w:r>
      <w:r>
        <w:t>https://mcp.opencaselaw.ch/entscheid/be_zivilstraf_BK_2018_278</w:t>
      </w:r>
    </w:p>
    <w:p>
      <w:r>
        <w:t>FR: BE_ZIVILSTRAF BK 2018 278 du 1 janvier 2019</w:t>
      </w:r>
    </w:p>
    <w:p>
      <w:r>
        <w:t>IT: BE_ZIVILSTRAF BK 2018 278 del 1 gennaio 2019</w:t>
      </w:r>
    </w:p>
    <w:p>
      <w:pPr>
        <w:pStyle w:val="Heading2"/>
      </w:pPr>
      <w:r>
        <w:t>Regeste</w:t>
      </w:r>
    </w:p>
    <w:p>
      <w:r>
        <w:t>perquisition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Une plainte pénale a été déposée le 20 novembre 2017 par la Caisse de pensions de la fonction publique du canton de E.________ contre A.________ et C.________, administrateurs de la société F.________, pour délit au sens de l’art. 76 de loi fédérale sur la prévoyance professionnelle vieillesse, survivants et invalidité (LPP) et abus de confiance (art. 138 CP).</w:t>
      </w:r>
    </w:p>
    <w:p>
      <w:r>
        <w:rPr>
          <w:b/>
        </w:rPr>
        <w:t>E. 1.2</w:t>
      </w:r>
    </w:p>
    <w:p>
      <w:r>
        <w:t>Le 19 avril 2018, le Ministère public, Région Jura bernois-Seeland, Agence du Jura bernois, a décerné un mandat de perquisition de documents et enregistrements dans la procédure pénale dirigée contre A.________ et C.________. Aucun document n’a été saisi lors de l’exécution dudit mandat, le 14 juin 2018, chez A.________.</w:t>
      </w:r>
    </w:p>
    <w:p>
      <w:r>
        <w:rPr>
          <w:b/>
        </w:rPr>
        <w:t>E. 1.3</w:t>
      </w:r>
    </w:p>
    <w:p>
      <w:r>
        <w:t>Le 22 juin 2018, ce dernier a, par son défenseur Me B.________, recouru contre ladite ordonnance de perquisition qui lui a été notifiée en date du 14 juin 2018, lors de son exécution, en retenant les conclusions suivantes : Préalablement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