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133 vom 26. März 2018</w:t>
      </w:r>
    </w:p>
    <w:p>
      <w:r>
        <w:t>BE Obergericht, 2018-03-26, DE</w:t>
      </w:r>
    </w:p>
    <w:p>
      <w:r>
        <w:rPr>
          <w:b/>
        </w:rPr>
        <w:t xml:space="preserve">Quelle: </w:t>
      </w:r>
      <w:r>
        <w:t>https://mcp.opencaselaw.ch/entscheid/be_zivilstraf_BK_2018_133</w:t>
      </w:r>
    </w:p>
    <w:p>
      <w:r>
        <w:t>FR: BE_ZIVILSTRAF BK 2018 133 du 26 mars 2018</w:t>
      </w:r>
    </w:p>
    <w:p>
      <w:r>
        <w:t>IT: BE_ZIVILSTRAF BK 2018 133 del 26 marzo 2018</w:t>
      </w:r>
    </w:p>
    <w:p>
      <w:pPr>
        <w:pStyle w:val="Heading2"/>
      </w:pPr>
      <w:r>
        <w:t>Regeste</w:t>
      </w:r>
    </w:p>
    <w:p>
      <w:r>
        <w:t>Untersuchung von Personen | Andere Verfügungen StA, Polizei (393-a)</w:t>
      </w:r>
    </w:p>
    <w:p>
      <w:pPr>
        <w:pStyle w:val="Heading2"/>
      </w:pPr>
      <w:r>
        <w:t>Erwägungen</w:t>
      </w:r>
    </w:p>
    <w:p>
      <w:r>
        <w:rPr>
          <w:b/>
        </w:rPr>
        <w:t>E. 1</w:t>
      </w:r>
    </w:p>
    <w:p>
      <w:r>
        <w:t>Am 23. März 2018 wurde A.________ (nachfolgend: Beschwerdeführerin) als Len- kerin eines Lieferwagens in Lyss polizeilich angehalten. Im Aschenbecher des Fahrzeugs lag gemäss Anzeigerapport ein Stummel eines Joints. Zudem fand die Polizei in einem Rucksack ein Minigrip (netto ca. 15g) mit Marihuana. Telefonisch ordnete die Staatsanwaltschaft eine Blut- und Urinprobe gegenüber der Beschwer- deführerin an, die schliesslich nicht durchgeführt wurde. Die Anordnung wurde am 26. März 2018 schriftlich verurkundet. Dagegen erhob die Beschwerdeführerin am</w:t>
      </w:r>
    </w:p>
    <w:p>
      <w:r>
        <w:rPr>
          <w:b/>
        </w:rPr>
        <w:t>E. 5</w:t>
      </w:r>
    </w:p>
    <w:p>
      <w:r>
        <w:t>schwerdekammer nicht zu erkennen. Vor diesem Hintergrund kann ebenso keine Verletzung von Art. 13 EMRK vorliegen. Das Recht auf wirksame Beschwerde kann erst und nur dann greifen, wenn tatsächlich in ein konventionsrechtlich ge- schütztes Recht konkret eingegriffen wurde – was hier nicht der Fall ist und es ent- sprechend bei der dargelegten Abstraktheit der Rechtsfrage bleibt. In Bezug auf den von der Verteidigung vorgebrachten BGE 136 I 274 fehlt es schliesslich an ei- nem thematischen Zusammenhang. Dieses Urteil handelt von einem rechtswidri- gen Freiheitsentzug, der schwersten Form der Verletzung der Bewegungsfreiheit. Ausserdem hatte die Vorinstanz zu den Rügen des dortigen Beschwerdeführers nicht Stellung genommen. Hier aber liegt wie gesehen nicht einmal ein grundrecht- lich geschützter staatlicher Eingriff vor. 3. Bei diesem Ausgang des Verfahrens – Nichteintreten auf die Beschwerde – wird die Beschwerdeführerin kostenpflichtig (Art. 428 Abs. 1 StPO). Die Verfahrenskos- ten können moderat gehalten werden.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