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127 vom 12. März 2019</w:t>
      </w:r>
    </w:p>
    <w:p>
      <w:r>
        <w:t>BE Obergericht, 2019-03-12, DE</w:t>
      </w:r>
    </w:p>
    <w:p>
      <w:r>
        <w:rPr>
          <w:b/>
        </w:rPr>
        <w:t xml:space="preserve">Quelle: </w:t>
      </w:r>
      <w:r>
        <w:t>https://mcp.opencaselaw.ch/entscheid/be_zivilstraf_BK_2018_127</w:t>
      </w:r>
    </w:p>
    <w:p>
      <w:r>
        <w:t>FR: BE_ZIVILSTRAF BK 2018 127 du 12 mars 2019</w:t>
      </w:r>
    </w:p>
    <w:p>
      <w:r>
        <w:t>IT: BE_ZIVILSTRAF BK 2018 127 del 12 marzo 2019</w:t>
      </w:r>
    </w:p>
    <w:p>
      <w:pPr>
        <w:pStyle w:val="Heading2"/>
      </w:pPr>
      <w:r>
        <w:t>Regeste</w:t>
      </w:r>
    </w:p>
    <w:p>
      <w:r>
        <w:t>Entschädigung amtliche Verteidigung | Andere Verfügungen Gericht (393-b)</w:t>
      </w:r>
    </w:p>
    <w:p>
      <w:pPr>
        <w:pStyle w:val="Heading2"/>
      </w:pPr>
      <w:r>
        <w:t>Erwägungen</w:t>
      </w:r>
    </w:p>
    <w:p>
      <w:r>
        <w:rPr>
          <w:b/>
        </w:rPr>
        <w:t>E. 1</w:t>
      </w:r>
    </w:p>
    <w:p>
      <w:r>
        <w:t>Rechtsanwalt B.________ (nachfolgend: Beschwerdeführer) war seit 16. Februar 2015 amtlicher Verteidiger des Beschuldigten A.________ im Strafverfahren wegen Verbreitens menschlicher Krankheiten und schwerer Körperverletzung, evtl. einfa- cher Körperverletzung. Anlässlich der Fortsetzungsverhandlung vor dem Regional- gericht Emmental-Oberaargau (nachfolgend: Regionalgericht) reichte der Be- schwerdeführer am 27. Februar 2018 eine detaillierte Honorarnote ein, mit welcher er einen Zeitaufwand von insgesamt 71.1 Stunden und einen Geldbetrag von total CHF 15‘689.70 geltend machte. Mit Urteil vom 28. Februar 2018 sprach das Regi- onalgericht den Beschuldigten von der Anschuldigung des Verbreitens menschli- cher Krankheiten, angeblich begangen z.N. der Straf- und Zivilklägerin, frei. Hinge- gen erklärte es ihn der schweren Körperverletzung, begangen z.N. der Straf- und Zivilklägerin, schuldig. Mit Entscheid vom 16. März 2018 – nachdem der Regiona- len Staatsanwaltschaft Emmental-Oberaargau nach der Urteilseröffnung das recht- liche Gehör gewährt worden war – setzte das Regionalgericht die Entschädigung für die amtliche Verteidigung des Beschuldigten wie folgt fest: Leistungen bis 31.12.2017 Stunden Satz amtliche Entschädigung 39.05 200.00 CHF 7'810.00 Reisezuschläge 6.00 75.00 CHF 450.00 CHF 279.80 Mehrwertsteuer 8.0% auf CHF 8'539.80 CHF 683.20 Total, vom Kanton Bern auszurichten CHF 9'223.00 volles Honorar CHF 9'762.50 Reisezuschläge 6.00 75.00 CHF 450.00 CHF 279.80 Mehrwertsteuer 8.0% auf CHF 10'492.30 CHF 839.40 Total CHF 11'331.70 nachforderbarer Betrag CHF 2'108.70 Auslagen MWST-pflichtig Auslagen MWST-pflichtig Leistungen ab 01.01.2018 Stunden Satz amtliche Entschädigung 6.00 200.00 CHF 1'200.00 Reisezuschläge 2.00 75.00 CHF 150.00 CHF 50.00 Mehrwertsteuer 7.7% auf CHF 1'400.00 CHF 107.80 Total, vom Kanton Bern auszurichten CHF 1'507.80 volles Honorar CHF 1'500.00 Reisezuschläge 2.00 75.00 CHF 150.00 CHF 50.00 Mehrwertsteuer 7.7% auf CHF 1'700.00 CHF 130.90 Total CHF 1'830.90 nachforderbarer Betrag CHF 323.10 Auslagen MWST-pflichtig Auslagen MWST-pflichtig Der Kanton Bern entschädigt Rechtsanwalt B.________ für die amtliche Verteidigung von A.________ mit insgesamt CHF 10‘730.80. A.________ hat dem Kanton Bern die amtliche Entschädigung zurückzuzahlen und Rechtsanwalt B.________ die Differenz zwischen der amtlichen Entschädigung und dem vollen Honorar, ausma-</w:t>
      </w:r>
    </w:p>
    <w:p>
      <w:r>
        <w:rPr>
          <w:b/>
        </w:rPr>
        <w:t>E. 3</w:t>
      </w:r>
    </w:p>
    <w:p>
      <w:r>
        <w:t>chend CHF 2‘431.80, zu erstatten, sobald es seine wirtschaftlichen Verhältnisse erlauben (Art. 135 Abs. 4 StPO). Hiergegen erhob der Beschwerdeführer am 29. März 2018 Beschwerde. Er bean- tragte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