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119 vom 9. März 2018</w:t>
      </w:r>
    </w:p>
    <w:p>
      <w:r>
        <w:t>BE Obergericht, 2018-03-09, DE</w:t>
      </w:r>
    </w:p>
    <w:p>
      <w:r>
        <w:rPr>
          <w:b/>
        </w:rPr>
        <w:t xml:space="preserve">Quelle: </w:t>
      </w:r>
      <w:r>
        <w:t>https://mcp.opencaselaw.ch/entscheid/be_zivilstraf_BK_2018_119</w:t>
      </w:r>
    </w:p>
    <w:p>
      <w:r>
        <w:t>FR: BE_ZIVILSTRAF BK 2018 119 du 9 mars 2018</w:t>
      </w:r>
    </w:p>
    <w:p>
      <w:r>
        <w:t>IT: BE_ZIVILSTRAF BK 2018 119 del 9 marzo 2018</w:t>
      </w:r>
    </w:p>
    <w:p>
      <w:pPr>
        <w:pStyle w:val="Heading2"/>
      </w:pPr>
      <w:r>
        <w:t>Regeste</w:t>
      </w:r>
    </w:p>
    <w:p>
      <w:r>
        <w:t>Beweisanträge | Andere Verfügungen StA, Polizei (393-a)</w:t>
      </w:r>
    </w:p>
    <w:p>
      <w:pPr>
        <w:pStyle w:val="Heading2"/>
      </w:pPr>
      <w:r>
        <w:t>Erwägungen</w:t>
      </w:r>
    </w:p>
    <w:p>
      <w:r>
        <w:rPr>
          <w:b/>
        </w:rPr>
        <w:t>E. 1</w:t>
      </w:r>
    </w:p>
    <w:p>
      <w:r>
        <w:t>Die Regionale Staatsanwaltschaft Berner Jura-Seeland (nachfolgend: Staatsan- waltschaft) führt gegen A.________ eine Strafuntersuchung wegen Erpressung, Pfändungsbetrugs, evtl. Betrugs, Wucher und Nötigung. Im Rahmen der Frist von Art. 318 der Schweizerischen Strafprozessordnung (StPO; SR 312) beantragte A.________, amtlich verteidigt durch Rechtsanwalt B.________, es seien Rechts- anwältin C.________ und D.________ als Zeugen einzuvernehmen. Die Staatsan- waltschaft lehnte die beiden Beweisanträge mit Verfügung vom 9. März 2018 ab. Dagegen liess A.________ (nachfolgend: Beschwerdeführer) am 22. März 2018 durch seinen amtlichen Verteidiger Beschwerde einreichen und beantragte, dass die Staatsanwaltschaft anzuweisen sei, die verlangten Zeugeneinvernahmen durchzuführen. Mit Blick auf das Nachfolgende wurde auf die Durchführung eines Schriftenwech- sels verzichtet (Art. 390 Abs. 2 StPO).</w:t>
      </w:r>
    </w:p>
    <w:p>
      <w:r>
        <w:rPr>
          <w:b/>
        </w:rPr>
        <w:t>E. 2</w:t>
      </w:r>
    </w:p>
    <w:p>
      <w:r>
        <w:t>Der Entscheid betreffend im Rahmen von Art. 318 StPO gestellten Beweisanträgen ist gemäss Abs. 3 derselben Bestimmung nicht anfechtbar bzw. nur dann gemäss Art. 394 Bst. b StPO beschwerdefähig, wenn der Antrag nicht ohne Rechtsnachteil vor dem erstinstanzlichen Gericht wiederholt werden kann (LANDSHUT/BOSSHARD, in: Kommentar zur Schweizerischen Strafprozessordnung, 2. Aufl. 2014, N. 13 zu Art. 318 StPO, mit Hinweisen). Ein solcher Rechtsnachteil liegt vor allem dann vor, wenn die Beweisabnahme keinen Aufschub verträgt, insbesondere weil sonst ein Beweisverlust droht (Urteil des Bundesgerichts 1B_73/2013 vom 21. Mai 2014 E. 1.4). Der Nachweis des drohenden Rechtsnachteils obliegt der beschwerde- führenden Person. Sie hat zu begründen, weshalb der beantragte Beweis von ent- scheidender Bedeutung für das Verfahren ist, sowie nachzuweisen, dass ein Zu- warten mit der Beweisabnahme aller Voraussicht nach zu einem Beweisverlust führen würde (GUIDON, in: Basler Kommentar, Schweizerische Strafprozessord- nung, 2. Aufl. 2014, N. 6 zu Art. 394 StPO). Gemäss bundesgerichtlicher Recht- sprechung muss ein konkretes Risiko des Beweisverlusts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 Schweize- rische Strafprozessordnung Praxiskommentar, 3. Aufl. 2017, N. 3 zu Art. 394 StPO; GUIDON, a.a.O., N. 6 zu Art. 394 StPO).</w:t>
      </w:r>
    </w:p>
    <w:p>
      <w:r>
        <w:rPr>
          <w:b/>
        </w:rPr>
        <w:t>E. 3</w:t>
      </w:r>
    </w:p>
    <w:p>
      <w:r>
        <w:t>StPO seines Sinns gänzlich entleeren würde (Beschluss des Obergerichts des Kantons Bern BK 13 392 vom 17. April 2014 E. 5.2). Es ist nicht ersichtlich, inwiefern bei den vom Beschwerdeführer verlangten Zeu- genbefragungen ein Beweisverlust drohen könnte. Die entsprechenden Beweisan- träge können ohne weiteres vor dem erstinstanzlichen Gericht wiederholt werden, ohne dass der Beschwerdeführer einen Rechtsnachteil zu gewärtigen hätte. Auf die Beschwerde ist folglich wegen offensichtlicher Unzulässigkeit nicht einzu- treten.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