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113 vom 3. April 2018</w:t>
      </w:r>
    </w:p>
    <w:p>
      <w:r>
        <w:t>BE Obergericht, 2018-04-03, DE</w:t>
      </w:r>
    </w:p>
    <w:p>
      <w:r>
        <w:rPr>
          <w:b/>
        </w:rPr>
        <w:t xml:space="preserve">Quelle: </w:t>
      </w:r>
      <w:r>
        <w:t>https://mcp.opencaselaw.ch/entscheid/be_zivilstraf_BK_2018_113</w:t>
      </w:r>
    </w:p>
    <w:p>
      <w:r>
        <w:t>FR: BE_ZIVILSTRAF BK 2018 113 du 3 avril 2018</w:t>
      </w:r>
    </w:p>
    <w:p>
      <w:r>
        <w:t>IT: BE_ZIVILSTRAF BK 2018 113 del 3 aprile 2018</w:t>
      </w:r>
    </w:p>
    <w:p>
      <w:pPr>
        <w:pStyle w:val="Heading2"/>
      </w:pPr>
      <w:r>
        <w:t>Regeste</w:t>
      </w:r>
    </w:p>
    <w:p>
      <w:r>
        <w:t>Beschlagnahme | Andere Verfügungen StA, Polizei (393-a)</w:t>
      </w:r>
    </w:p>
    <w:p>
      <w:pPr>
        <w:pStyle w:val="Heading2"/>
      </w:pPr>
      <w:r>
        <w:t>Erwägungen</w:t>
      </w:r>
    </w:p>
    <w:p>
      <w:r>
        <w:rPr>
          <w:b/>
        </w:rPr>
        <w:t>E. 1</w:t>
      </w:r>
    </w:p>
    <w:p>
      <w:r>
        <w:t>Die Kantonale Staatsanwaltschaft für Wirtschaftsdelikte (nachfolgend: Staatsan- waltschaft) ermittelt gegen A.________ wegen Betrugs. Am 26. Februar 2018 ver- fügte sie die Beschlagnahme des Fahrzeugs Audi A7 Sportback, mit welchem A.________ in die Schweiz eingereist war. Sie hielt dazu fest, dass die Zulas- sungsbescheinigung des Fahrzeugs zwar auf C.________ laute, jedoch die Ge- samtumstände ergeben würden, dass die Eigentümerschaft bei A.________ liege. Gegen die Beschlagnahmeverfügung reichte A.________ (nachfolgend: Be- schwerdeführer), amtlich verteidigt durch Rechtsanwalt B.________, am 19. März 2018 Beschwerde ein, mit welcher er die Aufhebung der Beschlagnahme und die Herausgabe des Fahrzeugs an die zivilrechtliche Eigentümerin C.________ ver- langte. Mit Blick auf das Nachfolgende hat die Verfahrensleitung auf das Einholen einer Stellungnahme verzichtet (Art. 390 Abs. 2 der Schweizerischen Strafprozessord- nung [StPO; SR 312.0]).</w:t>
      </w:r>
    </w:p>
    <w:p>
      <w:r>
        <w:rPr>
          <w:b/>
        </w:rPr>
        <w:t>E. 2.1</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Es bedarf einer näheren Prüfung, ob der Beschwerdeführer durch die angefochtene Verfügung unmittelbar in seinen rechtlich geschützten Interessen betroffen und somit zur Beschwerdeführung legi- timiert ist (Art. 382 Abs. 1 StPO).</w:t>
      </w:r>
    </w:p>
    <w:p>
      <w:r>
        <w:rPr>
          <w:b/>
        </w:rPr>
        <w:t>E. 2.2</w:t>
      </w:r>
    </w:p>
    <w:p>
      <w:r>
        <w:t>Gegenstände und Vermögenswerte einer beschuldigten Person oder einer Dritt- person können beschlagnahmt werden, wenn sie voraussichtlich als Beweismittel gebraucht werden, zur Sicherstellung von Verfahrenskosten, Geldstrafen, Bussen und Entschädigungen gebraucht werden, den Geschädigten zurückzugeben sind oder wenn sie einzuziehen sind (Art. 263 Abs. 1 StPO i.V.m. Art. 69 ff. des Schwei- zerischen Strafgesetzbuchs [StGB; SR 311.0]). Zur Beschwerde gegen eine Be- schlagnahme ist legitimiert, wer faktisch betroffen ist und ein rechtlich geschütztes Interesse hat. Die Tatsache allein, dass der Beschwerdeführer Verfügungsadressat ist, begründet seine Legitimation nicht. Ob der Beschwerdeführer ein rechtlich ge- schütztes Interesse hat, ist an seinen Rechtsbegehren zu messen, vorweg also daran, was er verlangt. So ergibt sich, dass er nicht die Herausgabe des Fahrzeugs an sich selbst beantragt, sondern an C.________. Hinsichtlich einer Herausgabe an C.________ verfügt der Beschwerdeführer indes über kein eigenes rechtlich geschütztes Interesse (Beschluss des Obergerichts des Kantons Bern BK 17 220 vom 7. Juni 2017 E. 4.2, mit Hinweisen). Auf die Beschwerde kann somit offensichtlich nicht eingetreten werden.</w:t>
      </w:r>
    </w:p>
    <w:p>
      <w:r>
        <w:rPr>
          <w:b/>
        </w:rPr>
        <w:t>E. 3</w:t>
      </w:r>
    </w:p>
    <w:p>
      <w:r>
        <w:t>Bei diesem Verfahrensausgang wird der Beschwerdeführer kostenpflichtig (Art. 428 Abs. 1 StPO). Die amtliche Entschädigung für Rechtsanwalt B.________ wird am Ende des Ver- fahrens durch die Staatsanwaltschaft oder das urteilende Gericht festgelegt werden (Art. 135 Abs. 2 StPO).</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