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106 vom 4. April 2018</w:t>
      </w:r>
    </w:p>
    <w:p>
      <w:r>
        <w:t>BE Obergericht, 2018-04-04, DE</w:t>
      </w:r>
    </w:p>
    <w:p>
      <w:r>
        <w:rPr>
          <w:b/>
        </w:rPr>
        <w:t xml:space="preserve">Quelle: </w:t>
      </w:r>
      <w:r>
        <w:t>https://mcp.opencaselaw.ch/entscheid/be_zivilstraf_BK_2018_106</w:t>
      </w:r>
    </w:p>
    <w:p>
      <w:r>
        <w:t>FR: BE_ZIVILSTRAF BK 2018 106 du 4 avril 2018</w:t>
      </w:r>
    </w:p>
    <w:p>
      <w:r>
        <w:t>IT: BE_ZIVILSTRAF BK 2018 106 del 4 aprile 2018</w:t>
      </w:r>
    </w:p>
    <w:p>
      <w:pPr>
        <w:pStyle w:val="Heading2"/>
      </w:pPr>
      <w:r>
        <w:t>Regeste</w:t>
      </w:r>
    </w:p>
    <w:p>
      <w:r>
        <w:t>Verlängerung Untersuchungshaft; dringender Tatverdacht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den Beschuldigten läuft ein Strafverfahren wegen gewerbs- und banden- mässigen Diebstahls, Sachbeschädigung und Hausfriedensbruchs sowie Vergehen gegen das Ausländergesetz. Das Regionale Zwangsmassnahmengericht Oberland (nachfolgend: Zwangsmassnahmengericht) ordnete am 2. Oktober 2017 Untersu- chungshaft gegen den Beschuldigten an (ARR 17 119) und verlängerte diese am</w:t>
      </w:r>
    </w:p>
    <w:p>
      <w:r>
        <w:rPr>
          <w:b/>
        </w:rPr>
        <w:t>E. 6</w:t>
      </w:r>
    </w:p>
    <w:p>
      <w:r>
        <w:t>Bei diesem Ausgang des Verfahrens wird der Beschwerdeführer kostenpflichtig (Art. 428 Abs. 1 StPO). Die Entschädigung des amtlichen Verteidigers für das Be- schwerdeverfahren wird durch das urteilende Gericht im Endentscheid festzuset- zen sein (Art. 135 Abs. 2 StPO).</w:t>
      </w:r>
    </w:p>
    <w:p>
      <w:r>
        <w:rPr>
          <w:b/>
        </w:rPr>
        <w:t>E. 7</w:t>
      </w:r>
    </w:p>
    <w:p>
      <w:r>
        <w:t>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