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518 vom 21. Dezember 2017</w:t>
      </w:r>
    </w:p>
    <w:p>
      <w:r>
        <w:t>BE Obergericht, 2017-12-21, DE</w:t>
      </w:r>
    </w:p>
    <w:p>
      <w:r>
        <w:rPr>
          <w:b/>
        </w:rPr>
        <w:t xml:space="preserve">Quelle: </w:t>
      </w:r>
      <w:r>
        <w:t>https://mcp.opencaselaw.ch/entscheid/be_zivilstraf_BK_2017_518</w:t>
      </w:r>
    </w:p>
    <w:p>
      <w:r>
        <w:t>FR: BE_ZIVILSTRAF BK 2017 518 du 21 décembre 2017</w:t>
      </w:r>
    </w:p>
    <w:p>
      <w:r>
        <w:t>IT: BE_ZIVILSTRAF BK 2017 518 del 21 dicembre 2017</w:t>
      </w:r>
    </w:p>
    <w:p>
      <w:pPr>
        <w:pStyle w:val="Heading2"/>
      </w:pPr>
      <w:r>
        <w:t>Regeste</w:t>
      </w:r>
    </w:p>
    <w:p>
      <w:r>
        <w:t>Anfechtbarkeit nachträglicher Entscheide der Staatsanwaltschaft (Leitentscheid) | Andere Verfügungen StA, Polizei (393-a)</w:t>
      </w:r>
    </w:p>
    <w:p>
      <w:pPr>
        <w:pStyle w:val="Heading2"/>
      </w:pPr>
      <w:r>
        <w:t>Erwägungen</w:t>
      </w:r>
    </w:p>
    <w:p>
      <w:r>
        <w:rPr>
          <w:b/>
        </w:rPr>
        <w:t>E. 1</w:t>
      </w:r>
    </w:p>
    <w:p>
      <w:r>
        <w:t>Am 26. Oktober 2017 verfügte die Regionale Staatsanwaltschaft Bern-Mittelland (nachfolgend: Staatsanwaltschaft), dass die von der Gemeinde Köniz am 16. März 2017 gegen A.________ (nachfolgend: Beschwerdeführer) ausgesprochene Busse von CHF 150.00 in eine Ersatzfreiheitsstrafe von 2 Tagen umgewandelt werde. In der Rechtsmittelbelehrung machte die Staatsanwaltschaft auf die Einsprachemög- lichkeit gemäss Art. 354 Schweizerische Strafprozessordnung (StPO; SR 312) aufmerksam. Mit Schreiben an die Staatsanwaltschaft vom 6. November 2017 teilte der Beschwerdeführer mit, dass er die Verfügung nicht akzeptiere. Am 14. Dezem- ber 2017 leitete die Staatsanwaltschaft das Schreiben des Beschwerdeführers an die Beschwerdekammer in Strafsachen weiter und begründete dieses Vorgehen wie folgt: Fälschlicherweise wurde auf der vorerwähnten Verfügung […] die Einsprache als Rechtsmittel aufge- führt. Da es sich jedoch nicht um ein nachträgliches Verfahren handelt, dessen Gegenstand lediglich der Vollzug der Sanktion ist, hätte richtigerweise auf die Beschwerdemöglichkeit hingewiesen werden müssen (BGE 141 IV 396). Die Einsprache von A.________ vom 06.11.2017 ist deshalb als Be- schwerde entgegen zu nehmen; das Verfahren ist an die Beschwerdekammer des Obergerichts wei- terzuleiten.</w:t>
      </w:r>
    </w:p>
    <w:p>
      <w:r>
        <w:rPr>
          <w:b/>
        </w:rPr>
        <w:t>E. 2</w:t>
      </w:r>
    </w:p>
    <w:p>
      <w:r>
        <w:t>Hintergrund dieser Weiterleitung scheint eine Verfügung des Regionalgerichts Bern-Mittelland vom 4. Dezember 2017 in einem analogen Verfahren zu sein, in welchem das Regionalgericht Folgendes festhielt: Das Gericht kommt nach summarischer Prüfung der Akten zum Schluss, dass seine Zuständigkeit für die weitere Beurteilung der erwähnten Verfahren nicht gegeben ist. Die Gemeinde […] hat die drei Beschuldigten mit Verfügung vom 05.05.2017 mit einer Busse von je CHF 200.00 gebüsst wegen ei- ner Widerhandlung gegen das kantonale Gesetz über Niederlassung und Aufenthalt der Schweizer (GNA). Die Bussen sind in Rechtskraft erwachsen, wurden allerdings nie bezahlt. In der Folge wurde das Verfahren um Festsetzung einer Ersatzfreiheitsstrafe eingeleitet. Hierbei geht es um ein sog. nachträgliches Verfahren. Mit Verfügung vom 25.09.2017 hat die regionale Staatsanwaltschaft Bern-Mittelland die Bussen von CHF 200.00 je in eine Ersatzfreiheitsstrafe von 2 Tagen umgewan- delt. Gegen diesen Entscheid haben die drei Beschuldigten entsprechend der Rechtsmittelbelehrung Einsprache erhoben, worauf die Akten dem Regionalgericht Bern-Mittelland überwiesen wurden. Nach Auffassung des Regionalgerichts Bern-Mittelland liegt die Zuständigkeit für die hier zur Diskus- sion stehende nachträgliche Bussenumwandlung (Busse von „nur" CHF 200.00) bei der regionalen Staatsanwaltschaft Bern-Mittelland (Art. 61 Abs. 1 lit. a EG ZSJ), welche hierüber erstinstanzlich ab-</w:t>
      </w:r>
    </w:p>
    <w:p>
      <w:r>
        <w:rPr>
          <w:b/>
        </w:rPr>
        <w:t>E. 3</w:t>
      </w:r>
    </w:p>
    <w:p>
      <w:r>
        <w:t>schliessend entscheidet – als Rechtsmittel müsste die Beschwerde möglich sein, mithin der Weiter- zug der Verfügung vom 25.10.2017 an die Beschwerdekammer des Obergerichts des Kantons Bern.</w:t>
      </w:r>
    </w:p>
    <w:p>
      <w:r>
        <w:rPr>
          <w:b/>
        </w:rPr>
        <w:t>E. 3.1</w:t>
      </w:r>
    </w:p>
    <w:p>
      <w:r>
        <w:t>Wurde die Geldstrafe durch eine Verwaltungsbehörde verhängt, so entscheidet das Gericht über die Ersatzfreiheitsstrafe (Art. 36 Abs. 2 Schweizerisches Strafgesetz- buch [StGB; SR 311]). Über Anträge von Verwaltungsbehörden auf Bestimmung von Ersatzfreiheitsstrafen für Bussen und Geldstrafen entscheidet a) die Staatsanwaltschaft bei Bussen und bei Geldstrafen bis zu 180 Tagessätzen; b) das Einzelgericht bei Geldstrafen über 180 Tagessätzen (Art. 61 Abs. 1 Einführungsgesetz zur Zivilprozessordnung, Strafprozessordnung und Jugendstrafprozessordnung [EG ZSJ; SR 271.1]). Hat die Staatsanwaltschaft im Strafbefehlsverfahren oder die Übertretungsstraf- behörde im Übertretungsstrafverfahren entschieden, so treffen diese Behörden auch die nachträglichen Entscheide (Art. 363 Abs. 2 StPO). Die Beschwerde ist zulässig gegen Verfügungen und Verfahrenshandlungen von Polizei, Staatsanwaltschaft und Übertretungsstrafbehörden (Art. 393 Abs. 1 Bst. a StPO).</w:t>
      </w:r>
    </w:p>
    <w:p>
      <w:r>
        <w:rPr>
          <w:b/>
        </w:rPr>
        <w:t>E. 3.2</w:t>
      </w:r>
    </w:p>
    <w:p>
      <w:r>
        <w:t>Die Rechtsauffassung des Regionalgerichts respektive der Staatsanwaltschaft vermag nicht zu überzeugen. GUIDON vertritt in zutreffender Weise die Ansicht, dass die Beschwerde unzulässig sei gegen selbständige nachträgliche Entscheide (Art. 363 ff. StPO – beispielsweise den Entscheid bezüglich Umwandlung von Bus- sen nach Art. 106 Abs. 2 StGB), wenn die Staatsanwaltschaft im Strafbefehlsver- fahren oder die Übertretungsstrafbehörde im Übertretungsstrafverfahren entschie- den habe (Art. 363 Abs. 2 StPO); derartige Entscheide ergingen wiederum in Form des Strafbefehls, gegen welche die Einsprache möglich sei (GUIDON, in: Basler Kommentar StPO, 2. Aufl. 2014, N. 11 / Fn. 131 zu Art. 393 StPO). Mit Blick auf Art. 363 Abs. 2 StPO führt HEER entsprechend aus, im Zusammenhang mit Straf- befehlen sei gemäss dem Grundsatz von Art. 363 Abs. 1 StPO die Strafbefehls- behörde zuständig; der entsprechende nachträgliche Entscheid werde wiederum als Strafbefehl erlassen (HEER, in: Basler Kommentar StPO, 2. Aufl. 2014, N. 9 zu Art. 363 StPO). RIKLIN schliesslich schreibt, Gegenstand eines Strafbefehls könn- ten auch nachträgliche Entscheide im Nachgang an Strafverfahren sein, namentlich Entscheide über die Umwandlung von gemeinnütziger Arbeit in eine Geldstrafe u.Ä.; es gelte jedoch das Prinzip der Identität der Gerichts- beziehungsweise der Strafbehörde, welche die Strafe ausgesprochen habe und der Gerichts- bezie- hungsweise Strafbehörde, die sie umwandle (RIKLIN, in: Basler Kommentar StPO, 2. Aufl. 2014, N. 11 zu Art. 352 StPO). Nichts zu ändern an der Überzeugung der Beschwerdekammer, dass eine Be- schwerdemöglichkeit vorliegend nicht gegeben ist, vermag vorab der Hinweis der Staatsanwaltschaft auf BGE 141 IV 396. Streitgegenstand war dort ein selbständi- ger nachträglicher gerichtlicher Entscheid. Hier hingegen hat die Staatsanwalt- schaft ein Rechtsverhältnis geregelt respektive einen Entscheid gefällt. Dessen un-</w:t>
      </w:r>
    </w:p>
    <w:p>
      <w:r>
        <w:rPr>
          <w:b/>
        </w:rPr>
        <w:t>E. 3.3</w:t>
      </w:r>
    </w:p>
    <w:p>
      <w:r>
        <w:t>Zusammenfassend ist festzuhalten, dass hier – nicht anders als sonst üblich – nach dem Strafbefehl der Staatsanwaltschaft (auch wenn er als Verfügung tituliert ist) die Einsprachemöglichkeit gemäss Art. 354 StPO offen steht. Alleine aus dem Umstand, dass die Staatsanwaltschaft bloss die Umwandung der Busse anordnete, nicht aber die Sanktion der Widerhandlung gegen das Könizer Abfallreglement festgesetzt hatte, ergibt sich kein differierendes Rechtsmittel. Eine derartige «Spal- tung» des Rechsmittelwegs ist weder in der StPO noch im StGB angelegt. Nach dem Gesagten wird die Eingabe des Beschwerdeführers nicht als Beschwer- de entgegen genommen.</w:t>
      </w:r>
    </w:p>
    <w:p>
      <w:r>
        <w:rPr>
          <w:b/>
        </w:rPr>
        <w:t>E. 4</w:t>
      </w:r>
    </w:p>
    <w:p>
      <w:r>
        <w:t>Die Kosten dieses Beschwerdeverfahrens trägt der Kanton Bern (Art. 417 StPO). Entschädigungswürdige Nachteile sind keine entstanden.</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