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400 vom 31. Oktober 2017</w:t>
      </w:r>
    </w:p>
    <w:p>
      <w:r>
        <w:t>BE Obergericht, 2017-10-31, DE</w:t>
      </w:r>
    </w:p>
    <w:p>
      <w:r>
        <w:rPr>
          <w:b/>
        </w:rPr>
        <w:t xml:space="preserve">Quelle: </w:t>
      </w:r>
      <w:r>
        <w:t>https://mcp.opencaselaw.ch/entscheid/be_zivilstraf_BK_2017_400</w:t>
      </w:r>
    </w:p>
    <w:p>
      <w:r>
        <w:t>FR: BE_ZIVILSTRAF BK 2017 400 du 31 octobre 2017</w:t>
      </w:r>
    </w:p>
    <w:p>
      <w:r>
        <w:t>IT: BE_ZIVILSTRAF BK 2017 400 del 31 ottobre 2017</w:t>
      </w:r>
    </w:p>
    <w:p>
      <w:pPr>
        <w:pStyle w:val="Heading2"/>
      </w:pPr>
      <w:r>
        <w:t>Regeste</w:t>
      </w:r>
    </w:p>
    <w:p>
      <w:r>
        <w:t>Nichtanhandnahme Strafverfahren wegen Körperverletzung, Verletzung des Berufsgeheimnisses, Urkundenfälschung etc. | Einstellung/Nichtanhandnahme</w:t>
      </w:r>
    </w:p>
    <w:p>
      <w:pPr>
        <w:pStyle w:val="Heading2"/>
      </w:pPr>
      <w:r>
        <w:t>Erwägungen</w:t>
      </w:r>
    </w:p>
    <w:p>
      <w:r>
        <w:rPr>
          <w:b/>
        </w:rPr>
        <w:t>E. 1</w:t>
      </w:r>
    </w:p>
    <w:p>
      <w:r>
        <w:t>Am 28. Juli 2017 reichte G.________ (nachfolgend: Beschwerdeführer) Strafanzei- ge gegen eine Vielzahl von Personen wegen unterschiedlicher Delikte ein, darunter unter Anderem wegen angeblicher Körperverletzung, Amtsgeheimnisverletzung oder Urkundenfälschung. Am 18. September 2017 nahm die Regionale Staatsan- waltschaft Emmental-Oberaargau (nachfolgend: Staatsanwaltschaft) das Verfahren nicht an die Hand. Dagegen erhob der Beschwerdeführer am 28. September 2017 Beschwerde. Am 12. Oktober 2017 reichte er auf entsprechende Aufforderung der Verfahrensleitung hin eine verbesserte Rechtsmittelschrift ein. Am 20. Oktober 2017 leistete er auf entsprechende Aufforderung der Verfahrensleitung hin eine Si- cherheitsleistung von CHF 600.00.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grundsätzlich einzu- treten, jedenfalls soweit sie den Streitgegenstand betrifft (siehe hinten E. 5.3).</w:t>
      </w:r>
    </w:p>
    <w:p>
      <w:r>
        <w:rPr>
          <w:b/>
        </w:rPr>
        <w:t>E. 3</w:t>
      </w:r>
    </w:p>
    <w:p>
      <w:r>
        <w:t>festgestellt werden. Der Tatbestand der einfachen Körperverletzung verjähre nach zehn Jahren. Folglich seien die Vorbringen betreffend die Zeit ab ca. 2005 - 2007 mit hoher Wahrscheinlichkeit (zumindest teilweise) verjährt. Aus diesen Gründen werde das Verfahren (auch betreffend Amts- bzw. Berufsgeheimnisverletzung) nicht an die Hand genommen. Der Beschwerdeführer habe vorgebracht, dass ihn eine unbekannte, staatliche Or- ganisation in der Zeit von 2007 - 2008 einmalig während einer Autofahrt mit elektri- scher Strahlung bestrahlt habe. Dies soll die Organisation mit der Absicht getan haben, um Leute, die eine Bindungsstörung aufweisten, stärker zu machen. Der Grundtatbestand von Art. 123 StGB sei als Antragsdelikt ausgestaltet. Gemäss Art. 31 StGB erlösche das Antragsrecht nach Ablauf von drei Monaten, wobei die Frist mit dem Tag beginne, an dem der antragsberechtigten Person der Täter be- kannt werde. Hier habe der Beschwerdeführer vorgebracht, dass die Tat durch eine staatliche, ihm unbekannte Organisation begangen worden sei. Die Anzeige richte sich also gegen den Staat, da die Organisation ihm als Verwaltungsträger zuzuord- nen sei. Es sei davon auszugehen, dass der Geschädigte im Tatzeitpunkt bereits in Kenntnis der Täterschaft, wenn auch nicht der genauen Personen, gewesen sei. Somit sei auch hier das Antragsrecht verjährt. Zudem lege der Beschwerdeführer in keinerlei Weise dar, inwiefern er durch die [angebliche] Bestrahlung in seiner phy- sischen oder psychischen Integrität verletzt worden wäre. Objektivierbare Beweis- mittel lägen keine vor und könnten aufgrund der langen Zeitspanne seit dem Vorfall nicht mehr erhältlich gemacht werden. Infolge der ungenügenden Belastungstatsa- chen werde das Verfahren nicht an die Hand genommen. in der Zeit von 2006 - 2017 habe sich der Beschwerdeführer des Weiteren in The- rapie bei Dr. C.________ begeben. Auch dieser habe von seiner Hochsensibilität gewusst und ihm dies verschwiegen. Zudem sei er sicher, dass dieser mit der un- bekannten staatlichen Organisation zusammenarbeitet habe – wie alle Ärzte. Gemäss der Staatsanwaltschaft sei indes kein Verfahren an die Hand zu nehmen, da der Eingabe kein strafrechtlich relevanter Sachverhalt entnommen werden kön- ne. Der Beschwerdeführer habe sodann vorgebracht, dass D.________, bei welcher er im Coaching gewesen sei, seine leibliche Mutter und folglich eine Leihmutter ge- wesen sei; überdies stehe auch sie mit der staatlichen Organisation in Verbindung. Indessen lägen keine den Tatverdacht begründende Hinweise vor, dass ein medi- zinisch unterstütztes Fortpflanzungsverfahren angewandt worden sei. Das Kindes- verhältnis zu H.________ sei mit der Geburt des Beschwerdeführers entstanden. Das Vorgebrachte erfülle keinen Straftatbestand. Werde das Kindesverhältnis be- stritten, so handle es sich um eine zivilrechtliche Angelegenheit. Der Beschwerdeführer habe ausgeführt, dass durch die Gemeinde E.________ ei- ne Urkundenfälschung begangen worden sei, da in seiner Geburtsurkunde A.________ und H.________ eingetragen seien, diese aber aufgrund der Leihmut- terschaft nicht seine leiblichen Eltern seien. Die Verjährung beginne indes mit dem Tag, an dem der Täter, hier die Gemeinde E.________, die strafbare Tätigkeit aus- geführt habe. Das Vorbringen betreffe die Zeit um die Geburt des Beschwerdefüh- rers, also das Jahr 1987. Die Verfolgungsverjährung sei somit im Jahr 2002 einge-</w:t>
      </w:r>
    </w:p>
    <w:p>
      <w:r>
        <w:rPr>
          <w:b/>
        </w:rPr>
        <w:t>E. 4</w:t>
      </w:r>
    </w:p>
    <w:p>
      <w:r>
        <w:t>In seiner verbesserten Eingabe vom 12. Oktober 2017 führt der Beschwerdeführer vorab aus, er möchte namentlich das Verfahren gegen unbekannte Täterschaft weiterführen. «Das Muster» folge generell dem gleichen Schema. Ihm würden «die Grenzen geöffnet», um ein negatives Erlebnis zu bewirken bzw. das Risiko dazu zu erhöhen. Im Folgenden macht er über viele Seiten Ausführungen zu verschiedenen angeblichen Geschehnissen, darunter insbesondere: Verschreibung des Medika- ments Abilify im Frühling 2016; Verschreibung des Medikaments Olanzapin im September 2017; Nichtbehandlung einer Herz-/Kreislaufstörung im September 2017; Malta Tauchgang im April 2017; versuchte Verursachung einer «Decompres- sion Sickness» in Jordanien im Mai 2017; versuchter Sportunfall beim Kitesurfen im Mai 2017; Anstiftung zur Belästigung einer Minderjährigen im Nachtzug Hamburg- Basel im Juni 2017; versuchte Verursachung von Autounfällen; Injektion eines all- ergischen Stoffs im Regionalspital L.________ im September 2017. Zu den ursprünglich angezeigten angeblichen Straftaten äussert er sich nicht mehr. Insbesondere führt er nicht aus, inwiefern die angefochtene Verfügung vom 18. September 2017 rechtsfehlerhaft wäre. Vielmehr legt auf den letzten Seiten seiner Eingabe vom 12. Oktober 2017 dar, was sich in seinem Leben in den letzten Jahren (in suboptimaler Weise) zugetragen habe.</w:t>
      </w:r>
    </w:p>
    <w:p>
      <w:r>
        <w:rPr>
          <w:b/>
        </w:rPr>
        <w:t>E. 5</w:t>
      </w:r>
    </w:p>
    <w:p>
      <w:r>
        <w:t>Der Beschwerdeführer vermag nicht darzutun und es ist auch nicht ersichtlich, in- wiefern sich die angezeigten Personen strafrechtsrelevant verhalten hätten. Die sehr ausführlich begründete Nichtanhandnahme erweist sich als rechtmässig.</w:t>
      </w:r>
    </w:p>
    <w:p>
      <w:r>
        <w:rPr>
          <w:b/>
        </w:rPr>
        <w:t>E. 5.1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Sachverhalt unter keinen Straftatbestand fällt, was namentlich bei rein zivilrechtlichen Streitigkeiten der Fall ist. Bei der Beur- teilung dieser Frage verfügen die Staatsanwaltschaft und die Beschwerdeinstanz über einen gewissen Spielraum, den das Bundesgericht mit Zurückhaltung über- prüft (BGE 138 IV 86 E. 4.1.2). Im Zweifelsfall – wenn die Sach- und/oder die Rechtslage nicht von Vornherein klar sind – ist eine Untersuchung zu eröffnen.</w:t>
      </w:r>
    </w:p>
    <w:p>
      <w:r>
        <w:rPr>
          <w:b/>
        </w:rPr>
        <w:t>E. 5.2</w:t>
      </w:r>
    </w:p>
    <w:p>
      <w:r>
        <w:t>Soweit der Beschwerdeführer eine Überprüfung der angefochtenen Verfügung vom 18. September 2017 verlangt, so ist die Beschwerde unbegründet und abzuweisen.</w:t>
      </w:r>
    </w:p>
    <w:p>
      <w:r>
        <w:rPr>
          <w:b/>
        </w:rPr>
        <w:t>E. 5.3</w:t>
      </w:r>
    </w:p>
    <w:p>
      <w:r>
        <w:t>Soweit der Beschwerdeführer andere angebliche Geschehnisse darstellt, so ist darauf – respektive auf die damit verbundenen, sinngemäss erhobenen Rügen und Rechtsbegehren – nicht einzutreten, da sie den Streitgegenstand nicht betreffen. Die Beschwerdekammer überprüft ausschliesslich die Rechtmässigkeit der voran- gegangenen Verfügung. Anzeichen oder Verdachtsmomente, dass andere Strafta- ten geschehen sein könnten, die eine Weiterleitung an die zuständigen Strafbehör- den rechtfertigen würden, liegen im Übrigen nicht vor.</w:t>
      </w:r>
    </w:p>
    <w:p>
      <w:r>
        <w:rPr>
          <w:b/>
        </w:rPr>
        <w:t>E. 6</w:t>
      </w:r>
    </w:p>
    <w:p>
      <w:r>
        <w:t>Nach dem Gesagten ist die Beschwerde wegen offensichtlicher Unbegründetheit abzuweisen, soweit überhaupt darauf eingetreten werden kann.</w:t>
      </w:r>
    </w:p>
    <w:p>
      <w:r>
        <w:rPr>
          <w:b/>
        </w:rPr>
        <w:t>E. 7</w:t>
      </w:r>
    </w:p>
    <w:p>
      <w:r>
        <w:t>Bei diesem Verfahrensausgang wird der Beschwerdeführer kostenpflichtig (Art. 428 Abs. 1 StPO). Die Verfahrenskosten von CHF 600.00 werden mit seiner Sicher- heitsleistung verrechnet.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