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384 vom 27. September 2017</w:t>
      </w:r>
    </w:p>
    <w:p>
      <w:r>
        <w:t>BE Obergericht, 2017-09-27, DE</w:t>
      </w:r>
    </w:p>
    <w:p>
      <w:r>
        <w:rPr>
          <w:b/>
        </w:rPr>
        <w:t xml:space="preserve">Quelle: </w:t>
      </w:r>
      <w:r>
        <w:t>https://mcp.opencaselaw.ch/entscheid/be_zivilstraf_BK_2017_384</w:t>
      </w:r>
    </w:p>
    <w:p>
      <w:r>
        <w:t>FR: BE_ZIVILSTRAF BK 2017 384 du 27 septembre 2017</w:t>
      </w:r>
    </w:p>
    <w:p>
      <w:r>
        <w:t>IT: BE_ZIVILSTRAF BK 2017 384 del 27 settembre 2017</w:t>
      </w:r>
    </w:p>
    <w:p>
      <w:pPr>
        <w:pStyle w:val="Heading2"/>
      </w:pPr>
      <w:r>
        <w:t>Regeste</w:t>
      </w:r>
    </w:p>
    <w:p>
      <w:r>
        <w:t>Nichtanhandnahme Strafverfahren wegen Amtsmissbrauchs / unentgeltliche Rechtspflege | Einstellung/Nichtanhandnahme</w:t>
      </w:r>
    </w:p>
    <w:p>
      <w:pPr>
        <w:pStyle w:val="Heading2"/>
      </w:pPr>
      <w:r>
        <w:t>Erwägungen</w:t>
      </w:r>
    </w:p>
    <w:p>
      <w:r>
        <w:rPr>
          <w:b/>
        </w:rPr>
        <w:t>E. 1</w:t>
      </w:r>
    </w:p>
    <w:p>
      <w:r>
        <w:t>Am 15. September 2017 nahm die Kantonale Staatsanwaltschaft für besondere Aufgaben (nachfolgend: Staatsanwaltschaft) das Verfahren gegen A.________, B.________ und C.________ (nachfolgend: Beschuldigte 1-3) wegen Amtsmiss- brauchs nicht an die Hand. Dagegen erhob D.________ (nachfolgend: Beschwer- deführerin) am 19. September 2017 Beschwerde und reichte diverse Beilagen ein. Ausserdem beantragte sie eine Genugtuung für sich und ihre Kinder sowie die un- entgeltliche Rechtspflege.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rere Verletzungen der Berufsordnung FSP aufweise. Die Gutachterin sei zum Be- such von 20 Stunden Supervision verpflichtet worden. Die Strafanzeige vermöchte indes keinen Tatverdacht zu begründen, welcher die Eröffnung eines Strafverfahrens rechtfertige. Zwar hätten die beanzeigten Perso- nen als Mitglieder des zuständigen Spruchkörpers einen Entscheid gefällt, welcher eine hoheitliche Gewaltausübung von erheblicher Tragweite zum Inhalt gehabt ha- be. Auch scheine mit dem Entscheid der Berufsethikkommission der FSP vom 20. Juli 2017 eine Grundlage vorzuliegen, die an der Qualität des Gutachtens, wel- ches im Rahmen der Entscheidfindung erstellt worden sei, erhebliche Zweifel auf- kommen lasse. Diese Erkenntnis liege jedoch erst seit dem 20. Juli 2017 und damit knapp drei Jahre nach der hoheitlichen Anordnung vor. Ob das Urteil des Oberge- richts vom 22. August 2014 vor diesem Hintergrund als rechtmässig angesehen werden könne, spiele im vorliegenden Verfahren keine Rolle, denn für die Überprü- fung einer hoheitlichen Anordnung (vorliegend: eines gerichtlichen Urteils) stünden die Rechtsmittel der entsprechenden Verfahrensvorschriften (vorliegend die Eid- genössische Zivilprozessordnung) offen. Selbst ein Entscheid, welcher an rechtli- chen Mängeln leide, weil er z.B. in formeller oder materieller Hinsicht nicht richtig sei, bedeute nicht, dass ein amtsmissbräuchliches Verhalten vorliege. Ein solches liege nur vor, wenn die für den Entscheid verantwortlichen Personen ihre Amtsge- walt missbraucht hätten mit dem Zweck, sich oder einem andern einen unrecht- mässigen Vorteil zu verschaffen oder einem andern einen Nachteil zuzufügen. Diesbezügliche Hinweise, welche durch objektive Anhaltspunkte belegt wären, lä- gen hier nicht vor, zumal die festgestellten Mängel am Gutachten zur Besuchs- rechtssituation im Zeitpunkt der Urteilsfällung noch nicht bekannt gewesen seien. Weder den Erläuterungen der Beschwerdeführerin noch den eingereichten Doku- menten liessen sich daher konkrete und objektive Anhaltspunkte entnehmen, wel- che einen Anfangsverdacht auf ein strafbares Verhalten der beanzeigten Personen begründeten. Die Eröffnung eines Verfahrens erweise sich bei dieser Ausgangsla- ge als unzulässig.</w:t>
      </w:r>
    </w:p>
    <w:p>
      <w:r>
        <w:rPr>
          <w:b/>
        </w:rPr>
        <w:t>E. 4</w:t>
      </w:r>
    </w:p>
    <w:p>
      <w:r>
        <w:t>neut gescheitert sind. Das, obwohl die Behörde der Mutter den Kontakt zu ihren Kinder für ein Jahr (!) zu unterbinden wusste! Will man da wirklich immer noch der Mutter die Schuld geben? Im Gerichtsentscheid vom 22.08.2014 legt die Kammer, Obergericht Bern, unmissverständlich dar: Punkt 7 hält der Entscheid des Obergerichts fest, dass nur Nicht-Erfüllen eines Qualitätsmerkmals zur Abweichung von der im Gutachten gestellten Empfehlung führe. Eindeutig und unmissverständlich wird in Bezug auf das fragliche Gutachten beurteilt: Hier sind jedoch keine solchen Mängel auszuma- chen: Punkt 8: Die Kammer stellt vielmehr fest, dass das Gutachten nachvollziehbar und schlüssig begründet ist. Punkt 11. Nach dem Gesagten hat die Kammer keinen Grund, an der Fachkompetenz der Gutachterin zu zweifeln. Die Staatsanwaltschaft argumentiert, dass der Entscheid der FSP zur Zeit des Gerichtsentscheides nicht vorhanden gewesen sei. Wohl braucht es keinen Entscheid einer weiteren Behörde, um von einem Richter erwarten zu können, einen Gerichtsentscheid gemäss EMRK Artikel 6, basierend auf ZGB Artikel 8, unter Berücksichtigung der Menschenrechte zu stellen. Umso mehr als es sich um die Thematik Obhutsentzug handelt. Viel mehr als um das Wohl des Kin- des (UN-Kinderrechtsartikel Artikel 3) geht es hier offensichtlich um andere Interesse. Der Kindsvater macht von Anfang an seine Zielsetzung klar (Beweis 1 Mail, dieser liegt dem Gericht seit Erstellung vor, wurde aber NIE berücksichtigt) und wiederholt seine Lügen abgesehen vom Gutachten bewiese- nermassen als Vater (Beweis 2 Brief Vater an Sohn, dieser liegt dem Gericht seit Erstellung vor, wur- de aber NIE berücksichtigt). Diese psychische massive Gewalt als Paarkonflikt abzutun und der Mut- ter zu unterstellen, sie sei schuld an den immer wieder scheiternden Vater-Kindskontakten entspricht eindeutigem Täterschutz und liefert Mutter wie Kinder schutzlos aus, was eine gravierende Verletzung der Menschenrechte ist. Die Kinder im Weiteren auf Grund eines durch Nicht-Erfüllen mehrerer Qua- litätsmerkmale erstellten Gutachtens der Obhut ihrer Mutter, die sich seit Geburt zu 99% ohne Kinds- vater um ihr Wohl nachweislich zu ihrem Wohl gekümmert hat – entsprechende Belege wie Beweise wurden unterschlagen oder als nebensächlich gewertet – entspricht neben weiteren massiven Men- schenrechtsverletzung gegenüber Mutter und Kind Täterschutz in Bezug auf den Kindsvater und Be- günstigung für Institutionen wie Heim und weiteren in sozialen Bereichen Arbeitenden. Die drei Rich- ter haben mit ihrem Entscheid, basierend vor allem auf dem rechtswidrig kritiklos integrierten Gutach- ten ihr Amt missbraucht, um durch Täterschutz dem Kindsvater seiner Ziele zu dienen und weitere, vor allem das Kinderheim Brugg widerrechtlich gemäss UN-Kinderrecht Artikel 36 zu begünstigen. Der Mutter haben sie nicht nur ihr Recht auf Schutz vor Gewalt aberkannt, sondern sie verantwortlich gemacht für die scheiternden Vater-Kinderkontakte und somit dem Fehlverhalten des Kindsvaters, was Täterschutz entspricht. Zudem wurde ihr dadurch massive psychische Gewalt angetan, die bis heute anhält. Die Kinder und das Kindswohl sind zu Floskeln verkommen, die nur eingesetzt werden, um Fehlentscheidungen zu rechtfertigen. Die Kinder leiden! Ihnen wird massive psychische Gewalt angetan.» [Rechtschreibefehler korrigiert].</w:t>
      </w:r>
    </w:p>
    <w:p>
      <w:r>
        <w:rPr>
          <w:b/>
        </w:rPr>
        <w:t>E. 5</w:t>
      </w:r>
    </w:p>
    <w:p>
      <w:r>
        <w:t>2013, N. 9 zu Art. 310 StPO). Im Zweifelsfall ist eine Untersuchung zu eröffnen. Er- gibt sich nach durchgeführter Untersuchung, dass kein Straftatbestand erfüllt ist, stellt die Staatsanwaltschaft das Strafverfahren gestützt auf Art. 319 StPO ein.</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 rein zivilrechtlichen Streitigkeiten (vgl. OMLIN, Basler Kommentar StPO, 2. Aufl.</w:t>
      </w:r>
    </w:p>
    <w:p>
      <w:r>
        <w:rPr>
          <w:b/>
        </w:rPr>
        <w:t>E. 5.2</w:t>
      </w:r>
    </w:p>
    <w:p>
      <w:r>
        <w:t>Die Nichtanhandnahme erweist sich als rechtmässig. Zur Begründung kann integral auf die Ausführungen der Staatsanwaltschaft verwiesen werden (vorne E. 3). Aus ihrer Beschwerdeschrift samt Beilagen vermag die Beschwerdeführerin nichts zu ihren Gunsten abzuleiten. Es ist offensichtlich, dass weder der Tatbestand des Amtsmissbrauchs im Sinne von Art. 312 Schweizerisches Strafgesetzbuch (StGB; SR 311) noch irgend ein anderer Straftatbestand – namentlich derjenige der Ent- ziehung von Minderjährigen gemäss Art. 220 StGB – erfüllt ist. Der Beschwerde- führerin kann insoweit zugestimmt werden, als die im damaligen Zivilverfahren ein- gesetzte Gutachterin im erwähnten Entscheid der Berufsethikkommission der FSP vom 20. Juli 2017 tatsächlich für ihre Vorgehensweise gerügt worden ist. Wie die Staatsanwaltschaft richtig begründet, lässt sich daraus aber in keiner Art eine straf- rechtlich relevante Verfehlung der drei Beschuldigten ableiten. Ein Gericht, das keine triftigen Gründe für ein Abweichen von einem Gutachten sieht, begeht keinen Amtsmissbrauch, wenn es ausgehend von diesem Gutachten einen Entscheid fällt, Es handelt auch nicht tatbestandsmässig im Sinne von Art. 220 StGB, wenn es auf den gefällten rechtskräftigen Entscheid nicht zurück kommt. Eine strafrechtlich re- levante Verletzung internationalen Rechts ist ebenfalls nicht ersichtlich.</w:t>
      </w:r>
    </w:p>
    <w:p>
      <w:r>
        <w:rPr>
          <w:b/>
        </w:rPr>
        <w:t>E. 5.3</w:t>
      </w:r>
    </w:p>
    <w:p>
      <w:r>
        <w:t>Nach dem Gesagten ist die Beschwerde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