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304 vom 10. August 2017</w:t>
      </w:r>
    </w:p>
    <w:p>
      <w:r>
        <w:t>BE Obergericht, 2017-08-10, DE</w:t>
      </w:r>
    </w:p>
    <w:p>
      <w:r>
        <w:rPr>
          <w:b/>
        </w:rPr>
        <w:t xml:space="preserve">Quelle: </w:t>
      </w:r>
      <w:r>
        <w:t>https://mcp.opencaselaw.ch/entscheid/be_zivilstraf_BK_2017_304</w:t>
      </w:r>
    </w:p>
    <w:p>
      <w:r>
        <w:t>FR: BE_ZIVILSTRAF BK 2017 304 du 10 août 2017</w:t>
      </w:r>
    </w:p>
    <w:p>
      <w:r>
        <w:t>IT: BE_ZIVILSTRAF BK 2017 304 del 10 agosto 2017</w:t>
      </w:r>
    </w:p>
    <w:p>
      <w:pPr>
        <w:pStyle w:val="Heading2"/>
      </w:pPr>
      <w:r>
        <w:t>Regeste</w:t>
      </w:r>
    </w:p>
    <w:p>
      <w:r>
        <w:t>Anordnung Sicherheitshaft | ZMG Haft (393-c)</w:t>
      </w:r>
    </w:p>
    <w:p>
      <w:pPr>
        <w:pStyle w:val="Heading2"/>
      </w:pPr>
      <w:r>
        <w:t>Erwägungen</w:t>
      </w:r>
    </w:p>
    <w:p>
      <w:r>
        <w:rPr>
          <w:b/>
        </w:rPr>
        <w:t>E. 1</w:t>
      </w:r>
    </w:p>
    <w:p>
      <w:r>
        <w:t>Die Regionale Staatsanwaltschaft Berner Jura-Seeland (nachfolgend: Staatsan- waltschaft) führt gegen A.________ ein Strafverfahren wegen banden- und ge- werbsmässigen Diebstahls, Sachbeschädigung und Hausfriedensbruchs, began- gen zwischen 4. November 2016 und 10. November 2016 in Gampelen, Bosse- nens und Küssnacht zu Lasten der D.________ AG, dem E.________ und der F.________, sowie wegen Widerhandlungen gegen das Ausländergesetz. Er wur- de am 10. November 2016 verhaftet. Die Untersuchungshaft wurde mehrmals ver- längert, letztmals am 30. Juni 2017 für eine Dauer von einem Monat (bis 28. Juli 2017). Am 11. Juli 2017 erhob die Staatsanwaltschaft Anklage. Gleichentags bean- tragte sie beim Regionalen Zwangsmassnahmengericht Berner Jura-Seeland (nachfolgend: Zwangsmassnahmengericht) die Anordnung von Sicherheitshaft. Diesem Antrag gab das Zwangsmassnahmengericht mit Entscheid vom 20. Juli 2017 statt (Dauer der Sicherheitshaft: drei Monaten, d.h. bis 11. Oktober 2017). Gegen diesen Entscheid erhob A.________ (nachfolgend: Beschwerdeführer), amtlich verteidigt durch Fürsprecher B.________, am 31. Juli 2017 Beschwerde. Darin beantragte er die Aufhebung des Entscheids des Zwangsmassnahmenge- richts und die umgehende Entlassung aus der Sicherheitshaft. Das Zwangsmass- nahmengericht verzichtete am 3. August 2017 – mit Verweis auf die Ausführungen im angefochtenen Entscheid – auf das Einreichen einer Stellungnahme. Am 4. Au- gust 2017 beantragte die von der Generalstaatsanwaltschaft mit der Wahrnehmung der staatsanwaltschaftlichen Aufgaben betraute Staatsanwältin C.________ die kostenfällige Abweisung der Beschwerde. Der Beschwerdeführer replizierte am 9. August 2017 und hielt an seinen Anträgen fest.</w:t>
      </w:r>
    </w:p>
    <w:p>
      <w:r>
        <w:rPr>
          <w:b/>
        </w:rPr>
        <w:t>E. 2</w:t>
      </w:r>
    </w:p>
    <w:p>
      <w:r>
        <w:t>Gemäss Art. 222 i.V.m. Art. 393 Abs. 1 Bst. c der Schweizerischen Strafprozess- ordnung (StPO; SR 312) können Entscheide über die Anordnung der Sicherheits- haft durch die verhaftete Person mit Beschwerde angefochten werden. Zuständig ist die Beschwerdekammer in Strafsachen (Art. 35 des Gesetzes über die Organi- sation der Gerichtsbehörden und der Staatsanwaltschaft [GSOG; BSG 161.1] i.V.m. Art. 29 Abs. 2 des Organisationsreglements des Obergerichts [OrR OG; BSG 162.11]). Der Beschwerdeführer ist durch die Anordnung der Sicherheitshaft unmit- telbar in seinen rechtlich geschützten Interessen betroffen und somit zur Be- schwerdeführung legitimiert (Art. 222 und Art. 382 Abs. 1 StPO). Auf die form- und fristgerechte Beschwerde ist einzutreten.</w:t>
      </w:r>
    </w:p>
    <w:p>
      <w:r>
        <w:rPr>
          <w:b/>
        </w:rPr>
        <w:t>E. 3</w:t>
      </w:r>
    </w:p>
    <w:p>
      <w:r>
        <w:t>schuldigten gegeben ist (Urteile des Bundesgerichts 1B_332/2014 vom 16. Oktober 2014 E. 10, 1B_422/2011 vom 6. September 2011 E. 3.2 [Ausnahme: Unhaltbarkeit der Annahme des dringenden Tatverdachts]). Dass das Zwangsmassnahmengericht den dringenden Tatverdacht bejaht hat, ist somit nicht zu beanstanden.</w:t>
      </w:r>
    </w:p>
    <w:p>
      <w:r>
        <w:rPr>
          <w:b/>
        </w:rPr>
        <w:t>E. 4</w:t>
      </w:r>
    </w:p>
    <w:p>
      <w:r>
        <w:t>Prüfung der Fluchtgefahr sei auf die Frage beschränkt, ob eine konkrete Wahr- scheinlichkeit dafür bestehe, dass die beschuldigte Person bei Freilassung versu- chen könnte, unterzutauchen oder sich ins Ausland abzusetzen. Diese Gefahr sei vorliegend weiterhin gegeben. Die Frage nach der Möglichkeit der Durchführung eines Abwesenheitsverfahrens werde erst im Rahmen der Verhältnismässig- keitsprüfung relevant.</w:t>
      </w:r>
    </w:p>
    <w:p>
      <w:r>
        <w:rPr>
          <w:b/>
        </w:rPr>
        <w:t>E. 4.1</w:t>
      </w:r>
    </w:p>
    <w:p>
      <w:r>
        <w:t>Neben dem dringenden Tatverdacht setzt die Sicherheitshaft einen besonderen Haftgrund im Sinn von Art. 221 Abs. 1 Bst. a-c StPO voraus. Die Vorinstanz stützt sich auf den Haftgrund der Fluchtgefahr.</w:t>
      </w:r>
    </w:p>
    <w:p>
      <w:r>
        <w:rPr>
          <w:b/>
        </w:rPr>
        <w:t>E. 4.2</w:t>
      </w:r>
    </w:p>
    <w:p>
      <w:r>
        <w:t>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(Urteil des Bundesgerichts 1B_240/2017 vom 7. Juli 2017 E. 3.2). Bei der Bewertung, ob Fluchtgefahr besteht, sind die gesamten konkreten Verhältnisse zu berücksichti- 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Urteil des Bundesgerichts 1B_407/2016 vom 28. November 2016 E. 3.1, auch zum Folgenden). Vielmehr müssen die konkreten Umstände, insbesondere die gesamten Lebensverhältnisse der beschuldigten Person, in Betracht gezogen werden. So ist es zulässig, die fa- miliären und sozialen Bindungen der inhaftierten Person, deren berufliche Situation und Schulden sowie private und geschäftliche Kontakte ins Ausland und Ähnliches mit zu berücksichtigen (FORSTER, in: Basler Kommentar, Schweizerische Strafpro- zessordnung, 2. Aufl. 2014, N. 5 zu Art. 221 StPO). Bei einer Person ausländischer Nationalität sind ferner der Aufenthaltsstatus, die Anwesenheitsdauer in der Schweiz und die familiären Beziehungen von Bedeutung. Wer im Fall einer Haftent- 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(HUG/SCHEIDEGGER, in: Kommentar zur Schweizerischen Strafprozessordnung, 2. Aufl. 2014, N. 17 zu Art. 221 StPO).</w:t>
      </w:r>
    </w:p>
    <w:p>
      <w:r>
        <w:rPr>
          <w:b/>
        </w:rPr>
        <w:t>E. 4.3</w:t>
      </w:r>
    </w:p>
    <w:p>
      <w:r>
        <w:t>Das Zwangsmassnahmengericht begründet die Fluchtgefahr mit den aktuellen Le- bensumständen des Beschwerdeführers. Der Beschwerdeführer sei bulgarischer Staatsangehöriger, halte sich illegal in der Schweiz auf und pflege hier keinerlei familiären oder sozialen Beziehungen. Er spreche ausserdem keine der Landes- sprachen und verfüge über keine Arbeitsbewilligung. Gestützt auf die Aussagen des Beschwerdeführers und dessen Verteidiger sei davon auszugehen, dass der Beschwerdeführer die Schweiz nach einer Haftentlassung verlassen und in sein Heimatland zurückkehren werde. Vor diesem Hintergrund sei die Fluchtgefahr zu bejahen. Die Tatsache, wonach allenfalls die Durchführung eines Abwesenheits- verfahrens möglich sei, stehe der Annahme von Fluchtgefahr nicht entgegen. Die</w:t>
      </w:r>
    </w:p>
    <w:p>
      <w:r>
        <w:rPr>
          <w:b/>
        </w:rPr>
        <w:t>E. 4.4</w:t>
      </w:r>
    </w:p>
    <w:p>
      <w:r>
        <w:t>Der Beschwerdeführer bestreitet nicht, dass er nach einer Haftentlassung in sein Heimatland zurückreisen möchte bzw. von der Ausländerbehörde ausgewiesen werde. Hingegen macht er geltend, dass bei der Beurteilung der haftrechtlich rele- vanten Fluchtgefahr nicht allein die Frage massgebend sei, ob er nach einer Haft- entlassung in der Schweiz verbleibe oder nicht. Selbst die Annahme einer allfälli- gen Ausreise vermöge nicht die Voraussetzung von Art. 221 Abs. 1 Bst. a StPO zu erfüllen, ziele der Haftgrund der Fluchtgefahr doch darauf ab, zu verhindern, dass er sich durch Flucht der zu erwartenden Sanktion oder dem Strafverfahren entzie- hen könnte. Mit «sich dem Strafverfahren entziehen» sei ein Verhalten gemeint, mit welchem der Fortgang des Strafverfahrens (dauernd oder wenigstens vorüberge- hend) verunmöglicht werde. Davon könne im vorliegenden Fall nicht gesprochen werden: Er sei mehrmals einvernommen und eingehend zur Sache befragt worden und habe anlässlich der Schlussbefragung erneut sämtliche Vorwürfe bestätigt. Der Sachverhalt und die Beweislage seien demzufolge klar und erstellt. Angesichts der Tatsache, dass bei dieser Ausgangslage die Voraussetzungen eines Abwesen- heitsverfahrens erfüllt seien, sei seine Anwesenheit im Verfahren nicht mehr not- wendig, weshalb er mit seinem Verhalten bzw. einer allfälligen Ausreise auch nicht mehr auf das Verfahren dergestalt einwirken könnte, dass dessen Fortgang verhin- dert würde. Betreffend die zu erwartende Sanktion führt der Beschwerdeführer aus, er dürfe mit einer bedingten Freiheitsstrafe rechnen. Selbst im Fall einer teilbedingten Strafe wäre der unbedingte Anteil durch die ausgestandene Haftdauer von achteinhalb Monaten längst erstanden. Mit dem bereits heute absehbaren Ausgang des Verfah- rens müsse er demzufolge keine Haftstrafe mehr verbüssen, mit anderen Worten könne er sich auch keiner Sanktion mehr entziehen. Es bestünden keine Anhalts- punkte und auch keine rechtliche Grundlage, dass das Sachgericht von der zu er- wartenden bedingten bzw. teilbedingten Strafe abweichen werde.</w:t>
      </w:r>
    </w:p>
    <w:p>
      <w:r>
        <w:rPr>
          <w:b/>
        </w:rPr>
        <w:t>E. 4.5</w:t>
      </w:r>
    </w:p>
    <w:p>
      <w:r>
        <w:t>Die mit der Wahrnehmung der staatsanwaltschaftlichen Aufgaben betraute Staats- anwältin führt aus, dass sich Sicherheitshaft rechtfertige, wenn die persönliche An- wesenheit des Beschwerdeführers an der Hauptverhandlung als zwingend erschei- ne. Ob ein Abwesenheitsverfahren durchgeführt werde oder nicht, obliege letztlich dem Sachgericht. Ausserdem sei die zu erwartende Sanktion derzeit nicht abseh- bar. Entgegen seinen Ausführungen in der Beschwerde habe der Beschwerdefüh- rer keinen blanken Strafregisterauszug, sondern sei wegen eines Vermögensde- likts vorbestraft. Es könne daher nicht mit Sicherheit davon ausgegangen werden, dass der Beschwerdeführer zu einer bedingten oder unbedingten Freiheitsstrafe verurteilt werde. Selbst bei einer beschuldigten Person ohne Vorstrafen könne nicht von vornherein als sicher angenommen werden, es werde vom Sachgericht auf ei- ne bedingte oder teilbedingte Strafe erkannt. Da die zu erwartende Strafe somit</w:t>
      </w:r>
    </w:p>
    <w:p>
      <w:r>
        <w:rPr>
          <w:b/>
        </w:rPr>
        <w:t>E. 5</w:t>
      </w:r>
    </w:p>
    <w:p>
      <w:r>
        <w:t>nicht vorausgesagt werden könne, könne nicht davon gesprochen werden, dass er sich dieser nicht durch Flucht entziehen könnte.</w:t>
      </w:r>
    </w:p>
    <w:p>
      <w:r>
        <w:rPr>
          <w:b/>
        </w:rPr>
        <w:t>E. 5.1</w:t>
      </w:r>
    </w:p>
    <w:p>
      <w:r>
        <w:t>Die persönlichen Lebensumstände des Beschwerdeführers sind unbestritten, wes- halb darauf nicht weiter eingegangen werden muss. Umstritten ist aber zunächst, inwieweit die Möglichkeit der Durchführung eines Abwesenheitsverfahrens Einfluss auf den besonderen Haftgrund der Fluchtgefahr hat. In diesem Punkt kann den Ausführungen des Zwangsmassnahmengerichts nicht gefolgt werden. Stattdessen ist auf die zutreffenden Ausführungen des Beschwerdeführers zu verweisen. Sicherheitshaft stellt eine schwer in die Freiheitsrechte der Betroffenen eingreifen- de strafprozessuale Zwangsmassnahme dar und darf daher nur als «ultima ratio» zum Zug kommen. Sie verfolgt stets einen Zweck, welchen der Gesetzgeber expli- zit festgelegt hat. Mit der Anordnung von Sicherheitshaft wegen Fluchtgefahr soll verhindert werden, dass sich die beschuldigte Person dem Strafverfahren oder der zu erwartenden Sanktion entzieht. Demgemäss ist für die Anordnung von Haft nicht allein die Frage massgebend, ob konkrete Anhaltspunkte dafür bestehen, dass sich die betroffene Person ins Ausland absetzen oder untertauchen könnte. Dies wäre vorliegend unbestrittenermassen zu bejahen, hat der Beschwerdeführer doch mehrfach seine Absicht geäussert, nach Bulgarien zurückkehren zu wollen. Rele- vant und demzufolge zu prüfen ist beim Haftgrund der Fluchtgefahr somit jeweils auch, ob der Zweck, auf den die Haft abzielt, erreicht werden kann. Diese Frage darf nicht mit den allgemein bei der Verhältnismässigkeitsprüfung vorzunehmenden Überlegungen (Geeignetheit, Erforderlichkeit und Zumutbarkeit; Art. 36 Abs. 3 der Bundesverfassung der Schweizerischen Eidgenossenschaft [BV; SR 101] und Art. 197 Abs. 1 Bst. c und d StPO) vermischt werden. Hier bedeutet dies nun Folgendes: Steht fest, dass die Anwesenheit der beschul- digten Person im Verfahren nicht mehr notwendig ist und dass sie sich der erwarte- ten Sanktion nicht entziehen wird, rechtfertigt es sich nicht mehr, sie wegen Flucht- gefahr in Sicherheitshaft zu belassen. Dies hat die Beschwerdekammer bereits mehrfach bestätigt (Beschlüsse des Obergerichts des Kantons Bern BK 12 274 vom 30. Oktober 2012 E. 4.4, BK 13 397 vom 19. Dezember 2013 E. 5, BK 13 408 vom 30. Dezember 2013 E. 4.2, BK 14 231 vom 18. Juli 2014 E. 4.2, BK 14 338 vom 15. Oktober 2014 E. 4.4, BK 15 95 vom 2. April 2015 E. 5.8, BK 15 174 vom</w:t>
      </w:r>
    </w:p>
    <w:p>
      <w:r>
        <w:rPr>
          <w:b/>
        </w:rPr>
        <w:t>E. 5.2</w:t>
      </w:r>
    </w:p>
    <w:p>
      <w:r>
        <w:t>Gemäss Art. 366 Abs. 4 StPO kann ein Abwesenheitsverfahren stattfinden, wenn die beschuldigte Person im bisherigen Verfahren ausreichend Gelegenheit hatte, sich zu den ihr vorgeworfenen Straftaten zu äussern, und wenn die Beweislage ein Urteil ohne ihre Anwesenheit zulässt. Diese Voraussetzungen sind vorliegend er- füllt (Beschluss des Obergerichts des Kantons Bern BK 12 274 vom 30. Oktober 2012 E. 4.4), was von der Staatsanwaltschaft denn auch nicht in Abrede gestellt</w:t>
      </w:r>
    </w:p>
    <w:p>
      <w:r>
        <w:t>6 wird. Das Argument, wonach dem Sachgericht der Entscheid über die Durch- führung eines Abwesenheitsverfahrens obliege, rechtfertigt nicht, die Sicherheits- haft wegen Fluchtgefahr aufrecht zu halten. Auch wenn Art. 336 Abs. 1 StPO eine Teilnahmepflicht der beschuldigten Person an der Hauptverhandlung statuiert, sieht das Gesetz eben gerade die Möglichkeit vor, auch ohne Anwesenheit der beschul- digten Person ein Urteil zu fällen (Art. 336 Abs. 3 und 366 Abs. 4 StPO). Es liegt keine Konstellation vor, welche die persönliche Einvernahme des Beschwerdefüh- rers gebieten würde. Allein zu Sicherstellung der Hauptverhandlung rechtfertigt sich somit die Anordnung von Sicherheitshaft nicht.</w:t>
      </w:r>
    </w:p>
    <w:p>
      <w:r>
        <w:rPr>
          <w:b/>
        </w:rPr>
        <w:t>E. 5.3</w:t>
      </w:r>
    </w:p>
    <w:p>
      <w:r>
        <w:t>Strittig ist ferner die Frage, ob sich der Beschwerdeführer der zu erwartenden Sanktion entziehen könnte. Hierzu ist Folgendes festzuhalten: In der Anklageschrift vom 11. Juli 2017 wurden noch keine Anträge zu den Sankti- onen gestellt. Diese werden an der Hauptverhandlung folgen (Art. 326 Abs. 1 Bst. f StPO). Die Staatsanwaltschaft stellt in Aussicht, eine Freiheitsstrafe von «deutlich über einem Jahr» beantragen zu wollen. Die Anklage wurde beim Einzelgericht er- hoben. Dieses kann Verbrechen und Vergehen beurteilen, für welche die Staats- anwaltschaft nicht mehr als zwei Jahre Freiheitsstrafe beantragt (Art. 19 Abs. 2 Bst. b StPO). Gewerbs- und bandenmässiger Diebstahl gemäss Art. 139 Ziff. 2 und 3 des Schweizerischen Strafgesetzbuchs (StGB; SR 311.0) wird mit einer Freiheitsstrafe bis zu zehn Jahren oder Geldstrafe nicht unter 90 bzw. 180 Tagessätzen bestraft. Die erbeutete Deliktssumme (ca. CHF 31‘340.00) liegt nicht im Bagatellbereich. Hinsichtlich der Sachbeschädigung ist festzuhalten, dass der verursachte Schaden (ca. CHF 16‘500.00) bereits als «gross» im Sinn von Art. 144 Abs. 3 StGB be- zeichnet werden muss (BGE 136 IV 119 E. 4.3.1) und eine entsprechende Sach- beschädigung mit einer Freiheitsstrafe von einem Jahr bis zu fünf Jahren geahndet werden kann. Hinzu kommt, dass sich der Beschwerdeführer auch wegen Wider- handlungen gegen das Ausländergesetz zu verantworten haben wird (illegaler Auf- enthalt und unbewilligte Erwerbstätigkeit). Ohne dem Sachgericht vorgreifen zu wollen, scheint der Beschwerdekammer gestützt auf die derzeitige Aktenlage eine Freiheitsstrafe von über einem Jahr als wahrscheinlich. Ob sie – wie von der Staatsanwaltschaft ausgeführt – «deutlich über einem Jahr» zu liegen kommen wird, braucht hier nicht abschliessend beurteilt zu werden. Entscheidend ist viel- mehr, ob der Beschwerdeführer berechtigte Aussicht auf die Gewährung eines be- dingten oder teilbedingten Strafvollzugs hat. Anders als im Rahmen der Beurteilung der Verhältnismässigkeit (vgl. dazu nachfolgend E. 6.2) ist die Möglichkeit eines bedingten und teilbedingten Vollzugs bei der Beurteilung des Haftgrunds zu berücksichtigen (Beschluss des Obergerichts des Kantons Bern BK 15 174 vom</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