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256 vom 19. Juli 2017</w:t>
      </w:r>
    </w:p>
    <w:p>
      <w:r>
        <w:t>BE Obergericht, 2017-07-19, DE</w:t>
      </w:r>
    </w:p>
    <w:p>
      <w:r>
        <w:rPr>
          <w:b/>
        </w:rPr>
        <w:t xml:space="preserve">Quelle: </w:t>
      </w:r>
      <w:r>
        <w:t>https://mcp.opencaselaw.ch/entscheid/be_zivilstraf_BK_2017_256</w:t>
      </w:r>
    </w:p>
    <w:p>
      <w:r>
        <w:t>FR: BE_ZIVILSTRAF BK 2017 256 du 19 juillet 2017</w:t>
      </w:r>
    </w:p>
    <w:p>
      <w:r>
        <w:t>IT: BE_ZIVILSTRAF BK 2017 256 del 19 luglio 2017</w:t>
      </w:r>
    </w:p>
    <w:p>
      <w:pPr>
        <w:pStyle w:val="Heading2"/>
      </w:pPr>
      <w:r>
        <w:t>Regeste</w:t>
      </w:r>
    </w:p>
    <w:p>
      <w:r>
        <w:t>Ausstand | Ausstand (59)</w:t>
      </w:r>
    </w:p>
    <w:p>
      <w:pPr>
        <w:pStyle w:val="Heading2"/>
      </w:pPr>
      <w:r>
        <w:t>Erwägungen</w:t>
      </w:r>
    </w:p>
    <w:p>
      <w:r>
        <w:rPr>
          <w:b/>
        </w:rPr>
        <w:t>E. 1</w:t>
      </w:r>
    </w:p>
    <w:p>
      <w:r>
        <w:t>Staatsanwalt C.________, Regionale Staatsanwaltschaft Bern-Mittelland, eröffnete am 22. September 2016 ein Strafverfahren gegen den Beschuldigten 1 wegen Be- trugs, Urkundenfälschung und Ehrverletzungen zum Nachteil von D.________ (BM 16 38222). Am 23. Mai 2017 eröffnete Staatsanwalt E.________, Regionale Staatsanwaltschaft Bern-Mittelland, eine Untersuchung gegen den Beschuldigten 1 und die Beschuldigte 2 wegen Gläubigerschädigung durch Vermögensminderung zum Nachteil der F.________ AG (BM 17 22885). Nachdem Staatsanwalt E.________ dieses Verfahren aufgrund interner Zuständigkeitsregeln (Vorbefas- sung) zur Vereinigung mit dem Verfahren BM 16 38222 an Staatsanwalt C.________ abgetreten hatte, vereinigte Letzterer am 8. Juni 2017 die beiden Ver- fahren. Am 14. Juni 2017 reichten der Beschuldigte 1 und die Beschuldigte 2 Be- schwerde gegen die Staatsanwaltschaft ein. Die Verfahrensleitung der Beschwer- dekammer bat die Beschuldigten am 20. Juni 2017 um Mitteilung, ob es sich bei dieser Eingabe um eine Beschwerde handle und falls ja, gegen welche Verfügun- gen/Verfahrenshandlungen sich diese richte. Unklar sei auch, ob ein Ausstandsge- such gegen Staatsanwalt C.________ gestellt werde. Die Beschuldigten wurden darauf hingewiesen, dass ihre Eingabe ohne ihren Gegenbericht ad acta gelegt werde (ohne Kostenerhebung). Am 28. Juni 2017 reichte der Beschuldigte 1 ein Ausstandsgesuch gegen Staatsanwalt C.________ (nachfolgend: Gesuchsgegner) ein. Der Gesuchsgegner beantragte in seiner Stellungnahme vom 7. Juli 2017 sinngemäss die Abweisung des Ausstandsgesuchs. Der Gesuchsteller hielt in sei- ner Replik vom 11. Juli 2017 am Ausstandsgesuch fest.</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der Schweizerischen Strafprozess- ordnung [StPO; SR 311]). Zuständig für den Entscheid ist die Beschwerdekammer (Art. 59 Ziff. 1 Bst. b StPO). Auf das form- und fristgerechte Ausstandsgesuch ist einzutreten.</w:t>
      </w:r>
    </w:p>
    <w:p>
      <w:r>
        <w:rPr>
          <w:b/>
        </w:rPr>
        <w:t>E. 3</w:t>
      </w:r>
    </w:p>
    <w:p>
      <w:r>
        <w:t>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Art. 30 Abs. 1 BV und Art. 6 Ziff. 1 EMRK sind bei der Ablehnung eines Staatsanwalts nur anwendbar, wenn er ausnahmsweise in richterlicher Funktion tätig wird, wie das bei Erlass eines Straf- befehls zutrifft. Amtet er jedoch als Strafuntersuchungsbehörde, beurteilt sich die Ausstandspflicht nach Art. 29 Abs. 1 BV. Wohl darf der Gehalt von Art. 30 Abs. 1 BV nicht unbesehen auf nicht richterliche Behörden bzw. auf Art. 29 Abs. 1 BV übertragen werden. Hinsichtlich der Unparteilichkeit des Staatsanwalts im Sinne von Unabhängigkeit und Unbefangenheit kommt Art. 29 Abs. 1 BV allerdings ein mit Art. 30 Abs. 1 BV weitgehend übereinstimmender Gehalt zu. Auch ein Staats- anwalt kann im Vorverfahren abgelehnt werden, wenn Umstände vorliegen, die ob- jektiv geeignet sind, den Anschein der Befangenheit zu erwecken (vgl. Urteil des Bundesgerichts 1B_181/2017 vom 2. Juni 2017 E. 2.1 f. mit Verweis auf BGE 141 IV 178 E. 3.2.1 f.).</w:t>
      </w:r>
    </w:p>
    <w:p>
      <w:r>
        <w:rPr>
          <w:b/>
        </w:rPr>
        <w:t>E. 4</w:t>
      </w:r>
    </w:p>
    <w:p>
      <w:r>
        <w:t>Der Gesuchsteller wirft dem Gesuchsgegner vor, die Massnahmen, welche dieser im Zusammenhang mit der Strafanzeige wegen Gläubigerschädigung durch Ver- mögensminderung getroffen habe, gingen viel zu weit und würden Gerüchte, Ver- dächtigungen und Vermutungen blühen lassen. Der Gesuchsgegner habe in der Absicht einer Vorverurteilung gehandelt. Er hätte vorgängig sorgfältiger juristisch abklären müssen. Der Gesuchsgegner habe die Unschuldsvermutung verletzt. An einer fairen Behandlung werde gezweifelt. Konkret beanstandet der Gesuchsteller die Hausdurchsuchung sowie die Vorladung vom 8. Juni 2017 zur Einvernahme am</w:t>
      </w:r>
    </w:p>
    <w:p>
      <w:r>
        <w:rPr>
          <w:b/>
        </w:rPr>
        <w:t>E. 6</w:t>
      </w:r>
    </w:p>
    <w:p>
      <w:r>
        <w:t>Bei diesem Ausgang des Verfahrens wird der Gesuchsteller nach Massgabe von Art. 59 Abs. 4 StPO kostenpflichtig.</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