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233 vom 3. August 2017</w:t>
      </w:r>
    </w:p>
    <w:p>
      <w:r>
        <w:t>BE Obergericht, 2017-08-03, DE</w:t>
      </w:r>
    </w:p>
    <w:p>
      <w:r>
        <w:rPr>
          <w:b/>
        </w:rPr>
        <w:t xml:space="preserve">Quelle: </w:t>
      </w:r>
      <w:r>
        <w:t>https://mcp.opencaselaw.ch/entscheid/be_zivilstraf_BK_2017_233</w:t>
      </w:r>
    </w:p>
    <w:p>
      <w:r>
        <w:t>FR: BE_ZIVILSTRAF BK 2017 233 du 3 août 2017</w:t>
      </w:r>
    </w:p>
    <w:p>
      <w:r>
        <w:t>IT: BE_ZIVILSTRAF BK 2017 233 del 3 agosto 2017</w:t>
      </w:r>
    </w:p>
    <w:p>
      <w:pPr>
        <w:pStyle w:val="Heading2"/>
      </w:pPr>
      <w:r>
        <w:t>Regeste</w:t>
      </w:r>
    </w:p>
    <w:p>
      <w:r>
        <w:t>Beschlagnahme Mobiltelefon | Andere Verfügungen StA, Polizei (393-a)</w:t>
      </w:r>
    </w:p>
    <w:p>
      <w:pPr>
        <w:pStyle w:val="Heading2"/>
      </w:pPr>
      <w:r>
        <w:t>Erwägungen</w:t>
      </w:r>
    </w:p>
    <w:p>
      <w:r>
        <w:rPr>
          <w:b/>
        </w:rPr>
        <w:t>E. 1</w:t>
      </w:r>
    </w:p>
    <w:p>
      <w:r>
        <w:t>Am 31. Mai 2017 beschlagnahmte die Regionale Staatsanwaltschaft Bern- Mittelland (nachfolgend: Staatsanwaltschaft) diverse Gegenstände im Rahmen ei- nes gegen A.________ (nachfolgend: Beschwerdeführer) geführten Strafverfah- rens wegen Widerhandlungen gegen das Betäubungsmittelgesetz. Mit Schreiben vom 2. Juni 2017 stellte der Beschwerdeführer bei der Staatsanwaltschaft den be- gründeten Antrag, ihm sei das iPhone 7 (IMEI ________), inkl. Ladekabel, unver- züglich auszuhändigen. Bezugnehmend auf dieses Schreiben teilte die Staatsan- waltschaft dem Beschwerdeführer am 6. Juni 2017 mit, die Beschlagnahme werde nicht aufgehoben. Daraufhin erhob der Beschwerdeführer gegen die Beschlag- nahme seines Mobiltelefons am 12. Juni 2017 Beschwerde mit folgenden Anträ- gen: «1. Die Beschlagnahmeverfügung vom 31. Mai 2017 sei betreffend das iPhone 7, IMEI ________, inkl. Ladekabel, aufzuheben.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genstände würden im derzeitigen Verfahrensstadium als Beweismittel dienen und würden voraussichtlich zum Zeitpunkt des Verfahrensabschlusses zur Vernichtung eingezogen, weshalb sie der Beschlagnahme unterliegen würden. Im Schreiben vom 6. Juni 2017 teilte die Staatsanwaltschaft dem Beschwerdeführer zudem mit, es handle sich bei dem iPhone 7 um ein Tatwerkzeug, das wahrscheinlich am En- de des Verfahrens gestützt auf Art. 69 StGB eingezogen werde. Diese Ausführungen vermögen dem vom Beschwerdeführer richtig ausgeführten und von der Kammer bereits mehrfach erläuterten Begründungserfordernis nicht zu genügen (vgl. Beschluss des Obergerichts des Kantons Bern BK 12 175 vom 24. Juli 2012; Beschluss des Obergerichts des Kantons Bern BK 16 502 vom 12. Dezember 2016). Zwar geht vorliegend aus der Beschlagnahmeverfügung – anders als in den genannten Beispielen – immerhin hervor, auf welche beiden Va- rianten von Art. 263 StPO sich die Staatsanwaltschaft stützt. Im Schreiben vom</w:t>
      </w:r>
    </w:p>
    <w:p>
      <w:r>
        <w:rPr>
          <w:b/>
        </w:rPr>
        <w:t>E. 6</w:t>
      </w:r>
    </w:p>
    <w:p>
      <w:r>
        <w:t>men. Manchmal hätten sie ihn vorher gefragt, ob er arbeite. Dies hätten sie via SMS oder Whatsapp getan. Da er Vollzeit arbeite, seien sie auch einfach vorbeige- kommen und hätten geschaut, ob er arbeite (S. 9 Z. 360 ff.). Auf die Frage, woher er sein Kokain bezogen habe, gab er an, das Kokain in Clubs gekauft zu haben. Es habe immer Leute vor Ort gehabt, bei denen man Kokain habe kaufen können. Auf Vorhalt, beim Verkauf dieser Menge kenne man den Verkäufer, gab er zu, die Per- sonen zu kennen und manchmal mit ihnen telefoniert zu haben. Früher habe er te- lefoniert, in letzter Zeit habe er die Clubs aufgesucht. Aktuell habe er keine Num- mern im Natel abgespeichert. Der Beschwerdeführer gab dann weiter zu, nur teil- weise die Wahrheit zu sagen, er wolle keine anderen Personen hineinziehen (S. 10 Z. 414 ff.). Damit ist unbestritten, dass der Beschwerdeführer sein Mobiltelefon für die Abwick- lung von Drogengeschäften verwendete. Ein Deliktskonnex ist zu bejahen. Die Ein- ziehung des Mobiltelefons des Beschwerdeführers scheint jedoch weder als geeig- net, noch als erforderlich für die Erreichung des Sicherungszwecks (Verhinderung von weiteren Drogengeschäften): Die Eignung ist bereits deshalb zu verneinen, weil es sich beim Mobiltelefon um ei- nen Alltagsgegenstand handelt, welcher problemlos wieder zu beschaffen ist. Dem Beschwerdeführer ist es ohne weiteres möglich, sich sofort ein neues Mobiltelefon – sogar mit gleichbleibender Rufnummer – zu besorgen. Dies wäre nicht einmal mit grossen Kosten verbunden. Dabei ist für die Kammer anders als für die General- staatsanwaltschaft doch von Bedeutung, dass es sich beim beschlagnahmten iPhone um ein auf die Ehefrau gelöstes Gerät handelt, welches vom Beschwerde- führer mehrheitlich zu legalen, alltäglichen Zwecken verwendet wurde. Dies im Un- terschied zum «klassischen» Drogendealer, welcher zahlreiche Mobiltelefone und noch viel mehr (oftmals auf falsche Identitäten eingelöste) SIM-Karten besitzt, wel- che zweifellos schwieriger zu beschaffen sind. Zudem geht aus den (grundsätzlich glaubhaften) Aussagen des Beschwerdeführers hervor, dass ein Grossteil der Kon- taktnahmen sowohl mit seinen Abnehmern als auch mit den Lieferanten persönlich vor Ort und gar nicht über das Mobiltelefon erfolgte. Mit einer Einziehung des Mo- biltelefons kann folglich nicht verhindert werden, dass er den Kontakt zu diesen Leuten weiterhin pflegt. Eine Einziehung erweist sich folglich als sinnlos und damit als ungeeignet. Der Vergleich der Generalstaatsanwaltschaft mit dem Messer überzeugt nicht; beim Messer handelt es sich um eine Waffe, welche per se als ge- fährlich zu qualifizieren ist. Nicht erforderlich ist eine Einziehung des Mobiltelefons deshalb, weil als mildere Massnahme sämtliche Kontaktdaten des Beschwerdeführers auf seinem Mobiltele- fon unwiederherstellbar gelöscht werden können. Eine allfällige Gefährdung der Si- cherheit von Menschen, der Sittlichkeit oder der öffentliche Ordnung geht nicht vom Mobiltelefon selber, sondern von den darauf gespeicherten Kontaktdaten aus. Ist der Beschwerdeführer nicht bereit, bekannt zu geben, welches die Kontaktdaten seiner Lieferanten sind, können im Zweifelsfall auch sämtliche Kontakte gelöscht werden. Der Sicherungszweck gebietet es mithin nicht, das Mobiltelefon einzuzie- hen bzw. eine Einziehung bringt nicht mehr als die Löschung der Kontaktdaten.</w:t>
      </w:r>
    </w:p>
    <w:p>
      <w:r>
        <w:rPr>
          <w:b/>
        </w:rPr>
        <w:t>E. 7</w:t>
      </w:r>
    </w:p>
    <w:p>
      <w:r>
        <w:t>Eine Einziehung des Mobiltelefons erweist sich aus den genannten Gründen insge- samt als nicht verhältnismässiger Eingriff in die Eigentumsgarantie des Beschwer- deführers. Das Mobiltelefon ist unter dem Titel der späteren Einziehung nicht be- schlagnahmefähig. 5. Soweit die Staatsanwaltschaft bzw. die Generalstaatsanwaltschaft geltend machen, das Mobiltelefon sei aus Beweiszwecken zu beschlagnahmen, kann auf den zutref- fenden Einwand des Beschwerdeführers in seinem Herausgabeantrag bzw. in sei- ner Replik verwiesen werden. So ist es zum Zwecke der Beweismittelsicherung problemlos möglich, die auf dem Telefon vorhandenen Daten zu kopieren. Es be- findet sich seit nunmehr fünf Monaten bei den Untersuchungsbehörden. Das Mobil- telefon als Gerät hat keinen Beweiszweck und ist deshalb einer Beweismittelbe- schlagnahme nach Sicherstellung der Daten nicht mehr zugänglich Die Beschwerde wird gutgeheissen. Die Verfügung der Regionalen Staatsanwalt- schaft Bern-Mittelland vom 31. Mai 2017 wird betreffend das iPhone 7 (IMEI ________), inkl. Ladekabel, aufgehoben. Das Mobiltelefon ist dem Beschwerdefüh- rer herauszugeben. 6. Bei diesem Ausgang des Verfahrens trägt der Kanton Bern die Verfahrenskosten (Art. 428 Abs. 1 StPO). Die Entschädigung des amtlichen Anwalts des Beschwerdeführers für seine Auf- wendungen im Beschwerdeverfahren ist durch die Staatsanwaltschaft beziehungs- weise das urteilende Gericht am Ende des Verfahrens festzusetzen (Art. 135 Abs. 2 StPO). Es ist darauf hinzuweisen, dass derjenige Teil der Entschädigung, welcher auf das Beschwerdeverfahren fällt – im Falle einer Verurteilung des Be- schwerdeführers – von der Rückzahlungsplicht gemäss Art. 135 Abs. 4 StPO aus- genommen ist. Der Beschwerdeführer hat diese Kosten weder dem Kanton zurück- zuzahlen, noch muss er dem amtlichen Anwalt die Differenz zwischen amtlichem und vollem Honorar erstatten.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