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202 vom 13. Juni 2017</w:t>
      </w:r>
    </w:p>
    <w:p>
      <w:r>
        <w:t>BE Obergericht, 2017-06-13, DE</w:t>
      </w:r>
    </w:p>
    <w:p>
      <w:r>
        <w:rPr>
          <w:b/>
        </w:rPr>
        <w:t xml:space="preserve">Quelle: </w:t>
      </w:r>
      <w:r>
        <w:t>https://mcp.opencaselaw.ch/entscheid/be_zivilstraf_BK_2017_202</w:t>
      </w:r>
    </w:p>
    <w:p>
      <w:r>
        <w:t>FR: BE_ZIVILSTRAF BK 2017 202 du 13 juin 2017</w:t>
      </w:r>
    </w:p>
    <w:p>
      <w:r>
        <w:t>IT: BE_ZIVILSTRAF BK 2017 202 del 13 giugno 2017</w:t>
      </w:r>
    </w:p>
    <w:p>
      <w:pPr>
        <w:pStyle w:val="Heading2"/>
      </w:pPr>
      <w:r>
        <w:t>Regeste</w:t>
      </w:r>
    </w:p>
    <w:p>
      <w:r>
        <w:t>Anordnung von Ersatzmassnahmen | ZMG Haft (393-c)</w:t>
      </w:r>
    </w:p>
    <w:p>
      <w:pPr>
        <w:pStyle w:val="Heading2"/>
      </w:pPr>
      <w:r>
        <w:t>Erwägungen</w:t>
      </w:r>
    </w:p>
    <w:p>
      <w:r>
        <w:rPr>
          <w:b/>
        </w:rPr>
        <w:t>E. 1</w:t>
      </w:r>
    </w:p>
    <w:p>
      <w:r>
        <w:t>Die Regionale Staatsanwaltschaft Bern-Mittelland (nachfolgend: Staatsanwalt- schaft) führt gegen A.________ (nachfolgend: Beschwerdeführer) ein Strafverfah- ren unter anderem wegen Widerhandlungen gegen das Betäubungsmittelgesetz, Drohungen und Beschimpfungen. In diesem Zusammenhang befand er sich vom 24. März 2017 bis am 4. Mai 2017 in Untersuchungshaft. Am 5. Mai 2017 beantrag- te die Staatsanwaltschaft dem kantonalen Zwangsmassnahmengericht, gegen den Beschwerdeführer auf den 12. Mai 2017 als Ersatzmassnahmen ein Kontaktverbot zu D.________ und eine Meldepflicht bei der Bewährungshilfe anzuordnen. Am 11. Mai 2017 entschied das Zwangsmassnahmengericht, dass gegen den Be- schwerdeführer per sofort ein Kontaktverbot zu D.________ und eine Meldepflicht bei der Bewährungshilfe angeordnet werde. Dagegen erhob der Beschwerdeführer am 18. Mai 2017 Beschwerde und bean- tragte, der Entscheid des Zwangsmassnahmengerichts vom 11. Mai 2017 sei unter Kosten- und Entschädigungsfolge aufzuheben. In ihrer Stellungnahme beantragte die Staatsanwaltschaft, die Beschwerde sei kostenfällig abzuweisen und dem amt- lichen Verteidiger des Beschwerdeführers sei eine angemessene Entschädigung auszurichten. Das Zwangsmassnahmengericht verzichtete auf eine Stellungnahme. In der Replik vom 9. Juni 2017 (Eingang: 12. Juni 2017) hielt der Beschwerdeführer an seinem Rechtsbegehren fest.</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Die Beschwerdebefugnis gegen Entscheide des Zwangsmass- nahmengerichts auf Anordnung von Ersatzmassnahmen steht auch der sich in Freiheit befindenden Person zu (HÄRRI, in: Basler Kommentar StPO, 2. Aufl. 2014, N. 48 zu Art. 237 StPO). Der Beschwerdeführer ist durch die Anordnung der Er- satzmassnahmen unmittelbar in seinen rechtlich geschützten Interessen betroffen und somit zur Beschwerdeführung legitimiert (Art. 222, Art. 382 Abs. 1 StPO). Auf die form- und fristgerechte Beschwerde ist einzutreten.</w:t>
      </w:r>
    </w:p>
    <w:p>
      <w:r>
        <w:rPr>
          <w:b/>
        </w:rPr>
        <w:t>E. 3</w:t>
      </w:r>
    </w:p>
    <w:p>
      <w:r>
        <w:t>Formalien, wie die Frist nach Art. 226 Abs. 1 StPO, nicht eingehalten worden. Das prozessual unrichtige Vorgehen sowie die Tatsache, dass das Zwangsmassnah- mengericht einerseits irrtümlicherweise die provisorische Verlängerung der Unter- suchungshaft angeordnet habe, obwohl der Beschwerdeführer bereits in Freiheit gewesen sei, sowie andererseits, dass es in seinem Entscheid vom 11. Mai 2017 die Namen des Beschwerdeführers und der Geschädigten falsch wiedergegeben habe (H.________ statt D.________, I.________ statt A.________), lasse den Eindruck entstehen, dass der Entscheid nicht mit der nötigen Sorgfalt getroffen worden sei. Weiter führe das Zwangsmassnahmengericht aus, die Vorabstellung- nahme des forensisch-psychiatrischen Gutachters gehe beim Beschwerdeführer in Bezug auf Verstösse gegen das Betäubungsmittelgesetz, aber auch in Bezug auf Beschimpfungen, Drohungen und Missachtung des Kontaktverbots von einem ho- hen Risiko aus. Das Risiko für besonders schwere Vergehen mit gezielter Gewalt- anwendung sei jedoch als gering zu beurteilen. Das Zwangsmassnahmengericht bringe vor, der Beschwerdeführer habe D.________ mehrmals, insbesondere am</w:t>
      </w:r>
    </w:p>
    <w:p>
      <w:r>
        <w:rPr>
          <w:b/>
        </w:rPr>
        <w:t>E. 6</w:t>
      </w:r>
    </w:p>
    <w:p>
      <w:r>
        <w:t>Whatsapp eine Fotoaufnahme eines Zeitungsbeitrags mit der Überschrift «Schmink-Tipps für verprügelte Ehefrauen» gesendet. Am 21. Januar 2017 habe er ihr per Whatsapp die Symbole Pistole, Bombe und Messer, unmittelbar gefolgt von der Beschimpfung «Hure» und der Äusserung «Stirb a dire paranoide sinnlose Angst du truurige grusige härzlose mönsch» geschickt. Am 18. März 2017 habe er ihr nach diversen Beschimpfungen: «I figge dis läbe no zrügg gloub mer...!, Ufne angeri art» geschrieben. Im Übrigen könne bei der Frage nach tatbestandsmässi- gen Drohungen nicht nur auf den Wortlaut einzelner Äusserungen abgestellt wer- den. Sein Verhalten, das er gegenüber D.________ seit Monaten vor seiner Ver- haftung an den Tag gelegt habe, stelle für sie eine massive Bedrohung und Ein- schränkung ihrer persönlichen Freiheit dar und habe sie gezwungen, die eigene Lebensweise umzustellen, indem sie zum Beispiel rund einen Monat nicht mehr in ihrer Wohnung gewohnt und die öffentlichen Verkehrsmittel nicht mehr zu den übli- chen Zeiten benützt habe, um einer Begegnung mit dem Beschwerdeführer – der bereits mit einem zivilrechtlichen Kontaktverbot belegt worden sei – aus dem Weg zu gehen. Das soeben illustrierte Verhalten, das er auch nach dem 21. November 2016 bis zu seiner Haftung – und namentlich auch während der Geltung des zivil- rechtlichen Kontaktverbots – an den Tag gelegt habe, lasse befürchten, dass im Falle des Beschwerdeführers auch künftig mit Drohungen und Nötigungen gegenü- ber D.________ zu rechnen sei. Weder aus der Rechtsprechung noch aus den Kommentaren lasse sich ableiten, dass nur Drohungen mit dem Tod genügend schwer wären, um eine Wiederholungsgefahr zu begründen. Soweit behauptet werde, Art. 221 StPO fordere eine «besonders ungünstige» Rückfallprognose, sei auf die jüngere bundesgerichtliche Rechtsprechung in Ent- scheid 1B_373/2016 vom 23. November 2016 hinzuweisen. Es sei nur noch eine «ungünstige» Rückfallprognose notwendig. Von einer solchen sei auszugehen. Nicht unwidersprochen bleiben solle die Behauptung, wonach die Ersatzmassnah- men für den Beschwerdeführer «grundsätzlich kein Problem darstellen». Dass dies nicht stimme, habe er durch sein Verhalten seit vergangenen November gezeigt. Trotz mehrfacher Beteuerung, er werde sich im Falle der Haftentlassung an das Kontaktverbot halten, habe er dagegen verstossen, indem er D.________ am 20. Mai 2017 mit unterdrückter Rufnummer telefonisch kontaktiert habe. Als sie das Gespräch abgebrochen habe, habe er sie erneut angerufen und ihr eine Sprach- nachricht hinterlassen (vgl. Anzeigerapport vom 23. Mai 2017). Dies zeige, dass er nicht in der Lage zu sein scheine, D.________ unbehelligt zu lassen. Wenn er den Drang verspüre, ihr seine Gedanken mitzuteilen, bringe er scheinbar nicht immer die Willenskraft auf, dem zu widerstehen. Die Beschwerde müsse so verstanden werden, dass der Beschwerdeführer genau dies – Kontaktaufnahme mit D.________, wenn ihm der Sinn danach stehe – auch weiterhin zu tun beabsichti- ge, ohne unmittelbare Konsequenzen wie namentlich eine Wiederverhaftung be- fürchten zu müssen. Gerade die mangelnde Selbstkontrolle habe in der Vergan- genheit dazu geführt, dass der Beschwerdeführer – insbesondere in Bezug auf D.________ – in aufgewühltem, aggressivem Zustand regelmässig zu Drohungen und Beschimpfungen geneigt habe. Die plötzlichen, offenbar unkontrollierten Ge- fühlswallungen seien soweit gegangen, dass er gegenüber andern Personen und gegen deren Hab und Gut massive Gewalt angewendet habe. Der Vorfall vom</w:t>
      </w:r>
    </w:p>
    <w:p>
      <w:r>
        <w:rPr>
          <w:b/>
        </w:rPr>
        <w:t>E. 7</w:t>
      </w:r>
    </w:p>
    <w:p>
      <w:r>
        <w:t>21. November 2016, bei welcher er D.________, die den gemeinsamen Sohn auf dem Arm getragen habe, unvermittelt gegen den Kopf geschlagen habe, so dass sie gegen hinten gefallen sei und sie mit dem Fuss gegen den Kopf getreten habe, zeige dies. Weder am psychischen Zustand des Beschwerdeführers noch an der ungeklärten Situation hinsichtlich des Kontakts zu seinem Sohn und des daraus re- sultierenden Konflikts habe sich nach der Entlassung aus der Haft etwas Grundle- gendes geändert. Daher müsse befürchtet werden, dass insbesondere im Fall des Zusammentreffens des Beschwerdeführers mit D.________ er erneut die Selbst- kontrolle verliere und ihr gegenüber drohend oder gewalttätig werde. Damit liege für ihn in Bezug auf Drohung, Nötigung und Körperverletzung, speziell zum Nach- teil von D.________, eine ungünstige Rückfallprognose vor. Schliesslich sei auch die Behauptung, der Beschwerdeführer habe «mehrere Schritte unternommen um ein Setting zu organisieren und sein Leben zu regeln», ins richtige Licht zu rücken: Es sei nicht er gewesen, der sein Setting organisiert und sein neues Leben geregelt habe. In Wahrheit handle es sich um eine Gruppe von Personen um die Bewährungshelferin, die dafür besorgt seien, dass dem Be- schwerdeführer der Weg aus der Obdachlosigkeit zurück in ein geregeltes Leben geebnet werde. Mit der Organisation einer Wohngelegenheit bei der Felber-Stiftung sei dem Wunsch des Beschwerdeführers entsprochen worden. Von ihm sei bislang vor allem erwartet worden, dass er sich den gesellschaftlichen Regeln, die sich aus den neuen Strukturen, in die er sich aus eigenem Wunsch begebe, verpflichte. Dem Beschwerdeführer sei zugute zu halten, dass er sich in diesen Prozess zur Verbesserung seiner Lebenssituation begeben habe und hier bislang Zugeständ- nisse gemacht habe, die seinen scheinbaren Überzeugungen – sich gegen ihm auferlegte Regeln aufzulehnen – an sich zuwiderlaufen. Der Weg des Beschwerde- führers in einen geregelten Alltag diene letztlich auch dem Opfer und sei weiter zu verfolgen. Ein wesentlicher Teil des Settings bilde die Vorgabe, dass er sich bis auf weiteres von D.________ fernhalte und sie nicht mehr belästige. Dies solle durch die Ersatzmassnahme in verhältnismässiger Weise gewährleistet werden. 5. In der Replik ergänzt der Beschwerdeführer, Beschimpfungen vermöchten keine Wiederholungsgefahr zu begründen. Es sei anzunehmen, dass D.________ die Äusserungen nicht als Drohungen aufgefasst habe, da sie am 5. April 2017 ausge- sagt habe, er habe ihr gegenüber keine Drohungen mehr geäussert. Im Weiteren komme die neue Rechtsprechung des Bundesgerichts zur Rückfallprognose nicht in jedem Fall zur Anwendung: Die Anforderungen an die Annahme einer Rückfall- gefahr seien nur tiefer anzusetzen, wenn die Tatschwere und die Sicherheitsrele- vanz am oberen Ende des Spektrums lägen. Vorliegend sei nicht die Rückfallge- fahr bezüglich schwerer Gewalt- und Sexualdelikte zu beurteilen, sondern bezüg- lich Drohungen. Daher sei an der Voraussetzung der sehr ungünstigen Rückfall- prognose festzuhalten, welche hier nicht gegeben sei. Ferner habe sich die Le- bensführung des Berufungsführers stabilisiert. Er habe in eine Wohnung der Fel- ber-Stiftung ziehen können. 6. Zunächst ist festzustellen, dass die «direkte» Anordnung der Ersatzmassnahmen ordnungsgemäss erfolgt ist. Wie die Staatsanwaltschaft richtig ausführt, ergibt sich</w:t>
      </w:r>
    </w:p>
    <w:p>
      <w:r>
        <w:rPr>
          <w:b/>
        </w:rPr>
        <w:t>E. 7.1</w:t>
      </w:r>
    </w:p>
    <w:p>
      <w:r>
        <w:t>Die Anordnung von Ersatzmassnahmen erfordert – wie die Untersuchungshaft – einerseits einen dringenden Tatverdacht (Art. 221 Abs. 1 StPO). Dieser liegt vor. Er wird vom Beschwerdeführer grossenteils auch nicht bestritten. Insbesondere hat er zugegeben, D.________ am 21. November 2016 geschlagen und gegen den Kopf getreten zu haben (EV Beschwerdeführer 23. März 2017, Z. 119).</w:t>
      </w:r>
    </w:p>
    <w:p>
      <w:r>
        <w:rPr>
          <w:b/>
        </w:rPr>
        <w:t>E. 7.2</w:t>
      </w:r>
    </w:p>
    <w:p>
      <w:r>
        <w:t>Andererseits ist ein besonderer Haftgrund notwendig. Das Zwangsmassnahmenge- richt beruft sich auf die Wiederholungsgefahr gemäss Art. 221 Abs. 1 Bst. c StPO. Diese liegt vor, wenn ernsthaft zu befürchten ist, dass die beschuldigte Person durch Verbrechen oder schwere Vergehen die Sicherheit anderer erheblich gefähr- det, nachdem sie bereits früher gleichartige Straftaten verübt hat. Voraussetzung für die Einstufung als schweres Vergehen ist, dass eine Freiheitsstrafe (bis zu drei Jahren) droht. Bei der Beurteilung der Schwere der Tat sind neben der abstrakten Strafdrohung insbesondere auch das betroffene Rechtsgut und der Kontext einzu- beziehen. Je höherwertig ein geschütztes Rechtsgut ist, desto eher werden Eingrif- fe in dieses als schwer zu qualifizieren sein (BGE 143 IV 9 E. 2.6). Drohungen gemäss Art. 180 Schweizerisches Strafgesetzbuch (StGB; SR 311) – bedroht mit einer Freiheitsstrafe bis zu drei Jahren oder Geldstrafe – sind dann keine Bagatell- delikte, wenn sie ernsthaft und glaubwürdig sind und massgebliche Benachteili- gungen zum Gegenstand haben, die geeignet sind, die Sicherheit anderer Perso- nen nur schon durch das Ausstossen der Drohung als solcher und der damit ver- bundenen Einschüchterung erheblich in Frage zu stellen (Urteil des Bundesge- richts 1B_238/2012 vom 16. Mai 2012 E. 2.4.2). Die Verhütung weiterer schwer- wiegender Delikte ist ein verfassungs- und grundrechtskonformer Massnahmen- zweck. Art. 5 Ziff. 1 Bst. c EMRK anerkennt die Notwendigkeit, eine beschuldigte Person an der Begehung schwerer strafbarer Handlungen zu hindern (BGE 137 IV 84 E. 3.2, 135 I 71 E. 2.2 mit Hinweisen). Erforderlich ist eine ungünstige Rückfall- prognose (vgl. Urteil des Bundesgerichts 1B_373/2016 vom 23. November 2016 E 2.10: In Änderung der publizierten Rechtsprechung […] ist demnach vom zwingenden Erfordernis der sehr ungünstigen Rückfallprognose zur Bejahung von Wiederholungsgefahr Abstand zu nehmen. Notwendig, aber auch ausreichend ist nach dem Gesagten grundsätzlich eine ungünstige Rückfall- prognose.). Der Haftgrund der Wiederholungsgefahr ist restriktiv zu handhaben. Die Tatwiederholung muss ernsthaft zu befürchten sein (vgl. BGE 135 I 71 E. 2.3; Urteil des Bundesgerichts 1B_17/2016 vom 8. Februar 2016 E. 3.3; 1B_249/2014 vom</w:t>
      </w:r>
    </w:p>
    <w:p>
      <w:r>
        <w:rPr>
          <w:b/>
        </w:rPr>
        <w:t>E. 7.3</w:t>
      </w:r>
    </w:p>
    <w:p>
      <w:r>
        <w:t>Nach dem Gesagten erweisen sich die verfügten Ersatzmassnahmen als recht- und verhältnismässig. Die Beschwerde ist abzuweisen. 8. Bei diesem Verfahrensausgang wird der Beschwerdeführer kostenpflichtig (Art. 428 Abs. 1 StPO). Die Entschädigungen legt die Staatsanwaltschaft oder das urteilende Gericht am Ende des Verfahrens fest (Art. 135 Abs. 2 StPO).</w:t>
      </w:r>
    </w:p>
    <w:p>
      <w:r>
        <w:rPr>
          <w:b/>
        </w:rPr>
        <w:t>E. 8</w:t>
      </w:r>
    </w:p>
    <w:p>
      <w:r>
        <w:t>dies bereits aus dem Grundsatz der Verhältnismässigkeit (Art. 237 Abs. 1 StPO: «mildere Massnahme»; vgl. auch Art. 31 Abs. 1 und Art. 36 Abs. 3 Bundesverfas- sung der Schweizerischen Eidgenossenschaft [BV; SR 101]). Gemäss Art. 237 Abs. 5 StPO kann das Gericht in der Folge die Ersatzmassnahmen widerrufen, an- dere Ersatzmassnahmen oder die Untersuchungs- oder die Sicherheitshaft anord- nen, wenn neue Umstände dies erfordern oder die beschuldigte Person die Aufla- gen nicht erfüllt. Überdies richten sich nach Massgabe von Art. 237 Abs. 4 StPO die Anordnung und Anfechtung von Ersatzmassnahmen bloss sinngemäss nach den Vorschriften über die Untersuchungs- und Sicherheitshaft. Schliesslich ist dem Beschwerdeführer in diesem Zusammenhang das rechtliche Gehör gewährt wor- den (vgl. Verfügung des Zwangsmassnahmengerichts vom 5. Mai 2017, Ziff. 2) 7.</w:t>
      </w:r>
    </w:p>
    <w:p>
      <w:r>
        <w:rPr>
          <w:b/>
        </w:rPr>
        <w:t>E. 9</w:t>
      </w:r>
    </w:p>
    <w:p>
      <w:r>
        <w:t>6. August 2014 E. 3.2; 1B_250/2013 vom 20. August 2013 E. 2.2; HUG/SCHEIDEGGER, in: Kommentar zur Schweizerischen Strafprozessordnung, 2. Aufl. 2014, N. 38 zu Art. 221 StPO). Trotz ihrer restriktiven Anwendbarkeit ist die Wiederholungsgefahr hier gegeben. Zur Begründung kann grundsätzlich auf die Ausführungen der Staatsanwaltschaft verwiesen werden (vorne E. 4). Ob eine ungünstige Rückfallprognose vorliegt, ist eine Rechtsfrage. Sie wird nicht durch ein forensisch-psychiatrisches Gutachten präjudiziert oder gar entschieden, sondern vom Gericht geprüft. Wie auch der Be- schwerdeführer anmerkt, kam die Vorabstellungnahme in Bezug auf Verstösse ge- gen das Betäubungsmittelgesetz, aber auch in Bezug auf Beschimpfungen, Dro- hungen und Missachtung des Kontaktverbots zum Schluss, dass ein hohes Risiko vorliegt. Insgesamt fällt die Legalprognose (noch) ungünstig aus, wobei das Risiko für besonders schwere Vergehen mit gezielter Gewaltanwendung und/oder Einsatz von Waffen als gering beurteilt wird (Vorabstellungnahme vom 28. April 2017, S. 6). Den Beweis für die (hier sogar sehr) ungünstige Rückfallprognose im Sinne der bundesgerichtlichen Rechtsprechung hat der Beschwerdeführer denn auch gleich selbst erbracht, indem er am 21. Mai 2017 – das heisst während des laufenden Beschwerdeverfahrens und bloss zwei Wochen nach seiner Haftentlassung – die Geschädigte telefonisch kontaktiert hat. Er wurde entsprechend verzeigt (vgl. An- zeigerapport vom 23. Mai 2017). Ein solches Gebaren wirft sogar die Frage nach der Geeignetheit der strafrechtlichen Ersatzmassnahme auf. Was schliesslich die Streitfrage betrifft, ob die Wiederholung ausreichend schwerer Vergehen und Verbrechen droht, ist diese zu bejahen. Es mag sein, dass die er- wähnten Urteile des Bundesgerichts zumindest teilweise noch schwerwiegendere Vorwürfe zum Gegenstand hatten. Nichtsdestotrotz sind die hier vorhandenen (To- des-)Drohungen als schwer im Sinne der bundesgerichtlichen Rechtsprechung zu beurteilen. Es kann verwiesen werden auf folgende Vorgänge, die sich nach An- sicht der Kammer wiederholen können: Todesdrohung, nachdem er D.________ und das gemeinsame Kind mit physischen und psychischen Mitteln zu einer Aus- fahrt mit dem Auto genötigt hatte; Todesdrohung, bevor er sie erzürnt darüber, von ihr unter anderem wegen dieser Todesdrohung aus der Wohnung gesperrt worden zu sein, zu Boden warf und mit mindestens einem Fusstritt traktierte. Nichts für sich abzuleiten vermag der Beschwerdeführer schliesslich, wenn er ausführt, seiner An- sicht nach habe seine ehemalige Partnerin die Äusserungen nicht als Drohungen aufgefasst, da sie am 5. April 2017 ausgesagt habe, er habe ihr gegenüber keine Drohungen mehr geäussert. Wie bereits die Staatsanwaltschaft festhält, hat das Verhalten des Beschwerdeführers für D.________ zu einer massiven Bedrohung und Einschränkung ihrer persönlichen Freiheit geführt. Immerhin gab sie anlässlich ihrer Einvernahme an, das Ganze habe sie wahnsinnig gemacht. Sie habe das Ge- fühl gehabt, nichts anders zu tun, als sich mit diesem Mann zu beschäftigen (EV D.________ vom 5. April 2017, Z. 199). Erinnert sei in diesem Kontext ausserdem an das erst am 29. November 2016 versendete Bild «Schmink-Tipps für verprügel- te Ehefrauen», an die einige Wochen später geschickte Whatsapp-Nachricht mit den Symbolen Pistole, Bombe und Messer sowie nicht zuletzt an seine rechtskräf- tige Verurteilung wegen mehrfachen Raubes und Vergehen gegen das Waffenge- setz (vgl. Auszug Strafregister Beschwerdeführer vom 1. Dezember 2016). Das</w:t>
      </w:r>
    </w:p>
    <w:p>
      <w:r>
        <w:rPr>
          <w:b/>
        </w:rPr>
        <w:t>E. 10</w:t>
      </w:r>
    </w:p>
    <w:p>
      <w:r>
        <w:t>Verhalten des Beschwerdeführers scheint derzeit ziemlich unberechenbar. Daran hat er sofortig und intensiv zu arbeiten. Zusammengefasst ist bezüglich der schwe- ren Drohungen Wiederholungsgefahr anzunehmen, da diese ernst- und glaubhaft sind und allein dadurch, dass sie ausgestossen werden, die Sicherheit von D.________ erheblich beeinträchtigen.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